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A7990" w14:textId="4BB6953E" w:rsidR="002D3C94" w:rsidRPr="002D3C94" w:rsidRDefault="002D3C94">
      <w:pPr>
        <w:rPr>
          <w:b/>
          <w:bCs/>
          <w:sz w:val="36"/>
          <w:szCs w:val="36"/>
        </w:rPr>
      </w:pPr>
      <w:r w:rsidRPr="002D3C94">
        <w:rPr>
          <w:b/>
          <w:bCs/>
          <w:sz w:val="36"/>
          <w:szCs w:val="36"/>
        </w:rPr>
        <w:t>PICCADILLLY GARDENS : SITE HOARDING</w:t>
      </w:r>
    </w:p>
    <w:p w14:paraId="560C5777" w14:textId="1DBCE5BC" w:rsidR="002D3C94" w:rsidRDefault="002D3C94">
      <w:pPr>
        <w:rPr>
          <w:i/>
          <w:iCs/>
          <w:sz w:val="26"/>
          <w:szCs w:val="26"/>
        </w:rPr>
      </w:pPr>
      <w:r w:rsidRPr="002D3C94">
        <w:rPr>
          <w:i/>
          <w:iCs/>
          <w:sz w:val="26"/>
          <w:szCs w:val="26"/>
        </w:rPr>
        <w:t>BRIEFING NOTE  (Planning Application ref 144971/VO/2026, Condition 12)</w:t>
      </w:r>
    </w:p>
    <w:p w14:paraId="30203628" w14:textId="68CF09DD" w:rsidR="002D3C94" w:rsidRPr="00C86AE8" w:rsidRDefault="002D3C94">
      <w:pPr>
        <w:rPr>
          <w:b/>
          <w:bCs/>
          <w:sz w:val="22"/>
          <w:szCs w:val="22"/>
        </w:rPr>
      </w:pPr>
      <w:r w:rsidRPr="00C86AE8">
        <w:rPr>
          <w:b/>
          <w:bCs/>
          <w:sz w:val="22"/>
          <w:szCs w:val="22"/>
        </w:rPr>
        <w:t xml:space="preserve">Purpose of this briefing note is to </w:t>
      </w:r>
      <w:r w:rsidR="00C86AE8" w:rsidRPr="00C86AE8">
        <w:rPr>
          <w:b/>
          <w:bCs/>
          <w:sz w:val="22"/>
          <w:szCs w:val="22"/>
        </w:rPr>
        <w:t xml:space="preserve">respond to the planning condition as set out below : </w:t>
      </w:r>
      <w:r w:rsidRPr="00C86AE8">
        <w:rPr>
          <w:b/>
          <w:bCs/>
          <w:sz w:val="22"/>
          <w:szCs w:val="22"/>
        </w:rPr>
        <w:t xml:space="preserve"> </w:t>
      </w:r>
    </w:p>
    <w:p w14:paraId="35822F8D" w14:textId="77777777" w:rsidR="00C86AE8" w:rsidRPr="00C86AE8" w:rsidRDefault="00C86AE8" w:rsidP="00C86AE8">
      <w:pPr>
        <w:rPr>
          <w:sz w:val="22"/>
          <w:szCs w:val="22"/>
        </w:rPr>
      </w:pPr>
      <w:r w:rsidRPr="00C86AE8">
        <w:rPr>
          <w:sz w:val="22"/>
          <w:szCs w:val="22"/>
        </w:rPr>
        <w:t>Prior to the installation of the Phase Two hoarding line, as indicated on drawing PGD-AHR-XX-ZZ-D-A-9007 P02 and Transport statement received by the City Council, as Local Planning Authority, on the 17 February 2026, final details of the siting, scale and appearance of the hoarding line shall be submitted for approval in writing by the City Council, as Local Planning Authority.  This shall include the following:</w:t>
      </w:r>
    </w:p>
    <w:p w14:paraId="31CFD648" w14:textId="305CB697" w:rsidR="00C86AE8" w:rsidRPr="00C86AE8" w:rsidRDefault="00C86AE8" w:rsidP="00C86AE8">
      <w:pPr>
        <w:rPr>
          <w:sz w:val="22"/>
          <w:szCs w:val="22"/>
        </w:rPr>
      </w:pPr>
      <w:r w:rsidRPr="00C86AE8">
        <w:rPr>
          <w:sz w:val="22"/>
          <w:szCs w:val="22"/>
        </w:rPr>
        <w:t>* Consultation with local businesses;</w:t>
      </w:r>
    </w:p>
    <w:p w14:paraId="0D5C46E0" w14:textId="77777777" w:rsidR="00C86AE8" w:rsidRPr="00C86AE8" w:rsidRDefault="00C86AE8" w:rsidP="00C86AE8">
      <w:pPr>
        <w:rPr>
          <w:sz w:val="22"/>
          <w:szCs w:val="22"/>
        </w:rPr>
      </w:pPr>
      <w:r w:rsidRPr="00C86AE8">
        <w:rPr>
          <w:sz w:val="22"/>
          <w:szCs w:val="22"/>
        </w:rPr>
        <w:t xml:space="preserve">* Details of the final design of the hoarding including height and position. </w:t>
      </w:r>
    </w:p>
    <w:p w14:paraId="3B36E7EB" w14:textId="2817B420" w:rsidR="00C86AE8" w:rsidRDefault="00C86AE8" w:rsidP="00C86AE8">
      <w:pPr>
        <w:rPr>
          <w:sz w:val="22"/>
          <w:szCs w:val="22"/>
        </w:rPr>
      </w:pPr>
      <w:r w:rsidRPr="00C86AE8">
        <w:rPr>
          <w:sz w:val="22"/>
          <w:szCs w:val="22"/>
        </w:rPr>
        <w:t>* Details of temporary lighting and CCTV coverage of this area.</w:t>
      </w:r>
    </w:p>
    <w:p w14:paraId="604B56EB" w14:textId="1CF4E5C7" w:rsidR="00C86AE8" w:rsidRPr="00355E9F" w:rsidRDefault="00C86AE8" w:rsidP="00355E9F">
      <w:pPr>
        <w:pStyle w:val="ListParagraph"/>
        <w:numPr>
          <w:ilvl w:val="0"/>
          <w:numId w:val="1"/>
        </w:numPr>
        <w:rPr>
          <w:b/>
          <w:bCs/>
          <w:i/>
          <w:iCs/>
          <w:sz w:val="22"/>
          <w:szCs w:val="22"/>
        </w:rPr>
      </w:pPr>
      <w:r w:rsidRPr="00355E9F">
        <w:rPr>
          <w:b/>
          <w:bCs/>
          <w:i/>
          <w:iCs/>
          <w:sz w:val="22"/>
          <w:szCs w:val="22"/>
        </w:rPr>
        <w:t>Siting :</w:t>
      </w:r>
    </w:p>
    <w:p w14:paraId="7A113F51" w14:textId="5CA80010" w:rsidR="00C86AE8" w:rsidRDefault="00C86AE8" w:rsidP="00C86AE8">
      <w:pPr>
        <w:rPr>
          <w:sz w:val="22"/>
          <w:szCs w:val="22"/>
        </w:rPr>
      </w:pPr>
      <w:r>
        <w:rPr>
          <w:sz w:val="22"/>
          <w:szCs w:val="22"/>
        </w:rPr>
        <w:t xml:space="preserve">The Phase 2 hoarding location has been reviewed </w:t>
      </w:r>
      <w:r w:rsidR="00355E9F">
        <w:rPr>
          <w:sz w:val="22"/>
          <w:szCs w:val="22"/>
        </w:rPr>
        <w:t>a</w:t>
      </w:r>
      <w:r>
        <w:rPr>
          <w:sz w:val="22"/>
          <w:szCs w:val="22"/>
        </w:rPr>
        <w:t xml:space="preserve">nd developed with input from GMP </w:t>
      </w:r>
      <w:r w:rsidRPr="00C86AE8">
        <w:rPr>
          <w:sz w:val="22"/>
          <w:szCs w:val="22"/>
        </w:rPr>
        <w:t xml:space="preserve">Inspector </w:t>
      </w:r>
      <w:r>
        <w:rPr>
          <w:sz w:val="22"/>
          <w:szCs w:val="22"/>
        </w:rPr>
        <w:t>K Hare from the Ci</w:t>
      </w:r>
      <w:r w:rsidRPr="00C86AE8">
        <w:rPr>
          <w:sz w:val="22"/>
          <w:szCs w:val="22"/>
        </w:rPr>
        <w:t>ty Centre Neighbourhood Policing Team</w:t>
      </w:r>
      <w:r w:rsidR="00DE2767">
        <w:rPr>
          <w:sz w:val="22"/>
          <w:szCs w:val="22"/>
        </w:rPr>
        <w:t xml:space="preserve"> (06 October 2026)</w:t>
      </w:r>
      <w:r>
        <w:rPr>
          <w:sz w:val="22"/>
          <w:szCs w:val="22"/>
        </w:rPr>
        <w:t>, TfGM Safety Review Committee</w:t>
      </w:r>
      <w:r w:rsidR="00DE2767">
        <w:rPr>
          <w:sz w:val="22"/>
          <w:szCs w:val="22"/>
        </w:rPr>
        <w:t xml:space="preserve"> (09 October 2026)</w:t>
      </w:r>
      <w:r>
        <w:rPr>
          <w:sz w:val="22"/>
          <w:szCs w:val="22"/>
        </w:rPr>
        <w:t xml:space="preserve"> and MCC Highways</w:t>
      </w:r>
      <w:r w:rsidR="00DE2767">
        <w:rPr>
          <w:sz w:val="22"/>
          <w:szCs w:val="22"/>
        </w:rPr>
        <w:t xml:space="preserve"> (10 September 2026)</w:t>
      </w:r>
      <w:r>
        <w:rPr>
          <w:sz w:val="22"/>
          <w:szCs w:val="22"/>
        </w:rPr>
        <w:t>. Some adjustments were requested including mesh hoarding in specific locations</w:t>
      </w:r>
      <w:r w:rsidR="00355E9F">
        <w:rPr>
          <w:sz w:val="22"/>
          <w:szCs w:val="22"/>
        </w:rPr>
        <w:t>, incorporation of chamfer at corner, widening of hoarding line to support temporary HVM</w:t>
      </w:r>
      <w:r>
        <w:rPr>
          <w:sz w:val="22"/>
          <w:szCs w:val="22"/>
        </w:rPr>
        <w:t xml:space="preserve"> and incorporation of white bulkhead light fittings.</w:t>
      </w:r>
      <w:r w:rsidR="00355E9F">
        <w:rPr>
          <w:sz w:val="22"/>
          <w:szCs w:val="22"/>
        </w:rPr>
        <w:t xml:space="preserve"> The proposed hoarding location has been marked up as set out below to identify the above adjustments are proposed.</w:t>
      </w:r>
    </w:p>
    <w:p w14:paraId="493234F5" w14:textId="6E2ABD53" w:rsidR="007148EC" w:rsidRDefault="007148EC" w:rsidP="00C86AE8">
      <w:pPr>
        <w:rPr>
          <w:sz w:val="22"/>
          <w:szCs w:val="22"/>
        </w:rPr>
      </w:pPr>
      <w:r w:rsidRPr="007148EC">
        <w:rPr>
          <w:sz w:val="22"/>
          <w:szCs w:val="22"/>
        </w:rPr>
        <w:drawing>
          <wp:inline distT="0" distB="0" distL="0" distR="0" wp14:anchorId="78AE0259" wp14:editId="0EEEC29A">
            <wp:extent cx="5731510" cy="4006850"/>
            <wp:effectExtent l="0" t="0" r="2540" b="0"/>
            <wp:docPr id="118200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02017" name=""/>
                    <pic:cNvPicPr/>
                  </pic:nvPicPr>
                  <pic:blipFill>
                    <a:blip r:embed="rId7"/>
                    <a:stretch>
                      <a:fillRect/>
                    </a:stretch>
                  </pic:blipFill>
                  <pic:spPr>
                    <a:xfrm>
                      <a:off x="0" y="0"/>
                      <a:ext cx="5731510" cy="4006850"/>
                    </a:xfrm>
                    <a:prstGeom prst="rect">
                      <a:avLst/>
                    </a:prstGeom>
                  </pic:spPr>
                </pic:pic>
              </a:graphicData>
            </a:graphic>
          </wp:inline>
        </w:drawing>
      </w:r>
    </w:p>
    <w:p w14:paraId="76C4B9C8" w14:textId="1E7E0DDC" w:rsidR="00355E9F" w:rsidRDefault="00355E9F" w:rsidP="00355E9F">
      <w:pPr>
        <w:pStyle w:val="ListParagraph"/>
        <w:numPr>
          <w:ilvl w:val="0"/>
          <w:numId w:val="1"/>
        </w:numPr>
        <w:rPr>
          <w:b/>
          <w:bCs/>
          <w:i/>
          <w:iCs/>
          <w:sz w:val="22"/>
          <w:szCs w:val="22"/>
        </w:rPr>
      </w:pPr>
      <w:r w:rsidRPr="00355E9F">
        <w:rPr>
          <w:b/>
          <w:bCs/>
          <w:i/>
          <w:iCs/>
          <w:sz w:val="22"/>
          <w:szCs w:val="22"/>
        </w:rPr>
        <w:t xml:space="preserve">Scale </w:t>
      </w:r>
      <w:r>
        <w:rPr>
          <w:b/>
          <w:bCs/>
          <w:i/>
          <w:iCs/>
          <w:sz w:val="22"/>
          <w:szCs w:val="22"/>
        </w:rPr>
        <w:t>:</w:t>
      </w:r>
    </w:p>
    <w:p w14:paraId="1621BA86" w14:textId="5D42C781" w:rsidR="00755F43" w:rsidRDefault="00755F43" w:rsidP="00755F43">
      <w:pPr>
        <w:rPr>
          <w:sz w:val="22"/>
          <w:szCs w:val="22"/>
        </w:rPr>
      </w:pPr>
      <w:r w:rsidRPr="00755F43">
        <w:rPr>
          <w:sz w:val="22"/>
          <w:szCs w:val="22"/>
        </w:rPr>
        <w:t xml:space="preserve">The Phase 2 hoarding </w:t>
      </w:r>
      <w:r>
        <w:rPr>
          <w:sz w:val="22"/>
          <w:szCs w:val="22"/>
        </w:rPr>
        <w:t>is an extension of the existing hoarding in height and construction except where TfGM and GMP have requested mesh panels be used. The height is circa 2.4m and the hoarding is described as a PVC on ground hoarding system secured in place by counterweight concrete blocks</w:t>
      </w:r>
      <w:r w:rsidR="0086789D">
        <w:rPr>
          <w:sz w:val="22"/>
          <w:szCs w:val="22"/>
        </w:rPr>
        <w:t xml:space="preserve">, and </w:t>
      </w:r>
      <w:r w:rsidR="00F942AF">
        <w:rPr>
          <w:sz w:val="22"/>
          <w:szCs w:val="22"/>
        </w:rPr>
        <w:t>p</w:t>
      </w:r>
      <w:r w:rsidR="0086789D">
        <w:rPr>
          <w:sz w:val="22"/>
          <w:szCs w:val="22"/>
        </w:rPr>
        <w:t xml:space="preserve">aladin </w:t>
      </w:r>
      <w:r w:rsidR="00F942AF">
        <w:rPr>
          <w:sz w:val="22"/>
          <w:szCs w:val="22"/>
        </w:rPr>
        <w:t>m</w:t>
      </w:r>
      <w:r w:rsidR="0086789D">
        <w:rPr>
          <w:sz w:val="22"/>
          <w:szCs w:val="22"/>
        </w:rPr>
        <w:t xml:space="preserve">esh </w:t>
      </w:r>
      <w:r w:rsidR="00F942AF">
        <w:rPr>
          <w:sz w:val="22"/>
          <w:szCs w:val="22"/>
        </w:rPr>
        <w:t>p</w:t>
      </w:r>
      <w:r w:rsidR="0086789D">
        <w:rPr>
          <w:sz w:val="22"/>
          <w:szCs w:val="22"/>
        </w:rPr>
        <w:t>anel</w:t>
      </w:r>
      <w:r w:rsidR="00F942AF">
        <w:rPr>
          <w:sz w:val="22"/>
          <w:szCs w:val="22"/>
        </w:rPr>
        <w:t xml:space="preserve"> system where mesh has been requested. Images below of the 2 systems prior to branding install</w:t>
      </w:r>
      <w:r>
        <w:rPr>
          <w:sz w:val="22"/>
          <w:szCs w:val="22"/>
        </w:rPr>
        <w:t xml:space="preserve">. </w:t>
      </w:r>
    </w:p>
    <w:p w14:paraId="3FE57372" w14:textId="521D0889" w:rsidR="00F942AF" w:rsidRDefault="00755F43">
      <w:pPr>
        <w:rPr>
          <w:b/>
          <w:bCs/>
          <w:i/>
          <w:iCs/>
          <w:sz w:val="22"/>
          <w:szCs w:val="22"/>
        </w:rPr>
      </w:pPr>
      <w:r>
        <w:rPr>
          <w:noProof/>
          <w:sz w:val="22"/>
          <w:szCs w:val="22"/>
        </w:rPr>
        <w:drawing>
          <wp:inline distT="0" distB="0" distL="0" distR="0" wp14:anchorId="0BF7B9F9" wp14:editId="5FABB024">
            <wp:extent cx="1647825" cy="1647825"/>
            <wp:effectExtent l="0" t="0" r="9525" b="9525"/>
            <wp:docPr id="1035132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pic:spPr>
                </pic:pic>
              </a:graphicData>
            </a:graphic>
          </wp:inline>
        </w:drawing>
      </w:r>
      <w:r>
        <w:rPr>
          <w:sz w:val="22"/>
          <w:szCs w:val="22"/>
        </w:rPr>
        <w:t xml:space="preserve">   </w:t>
      </w:r>
      <w:r>
        <w:rPr>
          <w:noProof/>
          <w:sz w:val="22"/>
          <w:szCs w:val="22"/>
        </w:rPr>
        <w:drawing>
          <wp:inline distT="0" distB="0" distL="0" distR="0" wp14:anchorId="07228091" wp14:editId="7C518D6E">
            <wp:extent cx="1657350" cy="1657350"/>
            <wp:effectExtent l="0" t="0" r="0" b="0"/>
            <wp:docPr id="867938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pic:spPr>
                </pic:pic>
              </a:graphicData>
            </a:graphic>
          </wp:inline>
        </w:drawing>
      </w:r>
      <w:r w:rsidR="0086789D">
        <w:rPr>
          <w:noProof/>
          <w:sz w:val="22"/>
          <w:szCs w:val="22"/>
        </w:rPr>
        <w:t xml:space="preserve">   </w:t>
      </w:r>
      <w:r w:rsidR="0086789D">
        <w:rPr>
          <w:noProof/>
          <w:sz w:val="22"/>
          <w:szCs w:val="22"/>
        </w:rPr>
        <w:drawing>
          <wp:inline distT="0" distB="0" distL="0" distR="0" wp14:anchorId="5E23F577" wp14:editId="5011EB3A">
            <wp:extent cx="2057400" cy="1543050"/>
            <wp:effectExtent l="0" t="0" r="0" b="0"/>
            <wp:docPr id="1903352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8367" cy="1543775"/>
                    </a:xfrm>
                    <a:prstGeom prst="rect">
                      <a:avLst/>
                    </a:prstGeom>
                    <a:noFill/>
                    <a:ln>
                      <a:noFill/>
                    </a:ln>
                  </pic:spPr>
                </pic:pic>
              </a:graphicData>
            </a:graphic>
          </wp:inline>
        </w:drawing>
      </w:r>
    </w:p>
    <w:p w14:paraId="7A5DB868" w14:textId="65EC938D" w:rsidR="00355E9F" w:rsidRDefault="00355E9F" w:rsidP="00355E9F">
      <w:pPr>
        <w:pStyle w:val="ListParagraph"/>
        <w:numPr>
          <w:ilvl w:val="0"/>
          <w:numId w:val="1"/>
        </w:numPr>
        <w:rPr>
          <w:b/>
          <w:bCs/>
          <w:i/>
          <w:iCs/>
          <w:sz w:val="22"/>
          <w:szCs w:val="22"/>
        </w:rPr>
      </w:pPr>
      <w:r>
        <w:rPr>
          <w:b/>
          <w:bCs/>
          <w:i/>
          <w:iCs/>
          <w:sz w:val="22"/>
          <w:szCs w:val="22"/>
        </w:rPr>
        <w:t xml:space="preserve">Appearance : </w:t>
      </w:r>
    </w:p>
    <w:p w14:paraId="23CD5A5B" w14:textId="51517804" w:rsidR="00F942AF" w:rsidRPr="00F942AF" w:rsidRDefault="00F942AF" w:rsidP="00F942AF">
      <w:pPr>
        <w:rPr>
          <w:sz w:val="22"/>
          <w:szCs w:val="22"/>
        </w:rPr>
      </w:pPr>
      <w:r>
        <w:rPr>
          <w:sz w:val="22"/>
          <w:szCs w:val="22"/>
        </w:rPr>
        <w:t xml:space="preserve">The solid hoarding will have the project branding installed along its whole perimeter. The project branding includes historic references for the site, positive </w:t>
      </w:r>
      <w:r w:rsidR="00D03B50">
        <w:rPr>
          <w:sz w:val="22"/>
          <w:szCs w:val="22"/>
        </w:rPr>
        <w:t xml:space="preserve">quotes from stakeholders and design </w:t>
      </w:r>
      <w:r w:rsidR="00D03B50" w:rsidRPr="00D03B50">
        <w:rPr>
          <w:sz w:val="22"/>
          <w:szCs w:val="22"/>
        </w:rPr>
        <w:t>statements</w:t>
      </w:r>
      <w:r w:rsidR="00D03B50">
        <w:rPr>
          <w:sz w:val="22"/>
          <w:szCs w:val="22"/>
        </w:rPr>
        <w:t>. The expanded hoarding will also include directional signage for the local businesses.</w:t>
      </w:r>
    </w:p>
    <w:p w14:paraId="3BFDF14A" w14:textId="7F219895" w:rsidR="00755F43" w:rsidRPr="00755F43" w:rsidRDefault="00755F43" w:rsidP="00755F43">
      <w:pPr>
        <w:rPr>
          <w:b/>
          <w:bCs/>
          <w:i/>
          <w:iCs/>
          <w:sz w:val="22"/>
          <w:szCs w:val="22"/>
        </w:rPr>
      </w:pPr>
      <w:r w:rsidRPr="00D46AFA">
        <w:rPr>
          <w:noProof/>
        </w:rPr>
        <w:drawing>
          <wp:inline distT="0" distB="0" distL="0" distR="0" wp14:anchorId="6DCA8701" wp14:editId="0DAA1EE9">
            <wp:extent cx="1825200" cy="1368000"/>
            <wp:effectExtent l="0" t="0" r="3810" b="3810"/>
            <wp:docPr id="76243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5200" cy="1368000"/>
                    </a:xfrm>
                    <a:prstGeom prst="rect">
                      <a:avLst/>
                    </a:prstGeom>
                    <a:noFill/>
                    <a:ln>
                      <a:noFill/>
                    </a:ln>
                  </pic:spPr>
                </pic:pic>
              </a:graphicData>
            </a:graphic>
          </wp:inline>
        </w:drawing>
      </w:r>
      <w:r>
        <w:rPr>
          <w:noProof/>
        </w:rPr>
        <w:t xml:space="preserve">   </w:t>
      </w:r>
      <w:r w:rsidRPr="00D46AFA">
        <w:rPr>
          <w:noProof/>
        </w:rPr>
        <w:drawing>
          <wp:inline distT="0" distB="0" distL="0" distR="0" wp14:anchorId="34A76134" wp14:editId="07F9DBA1">
            <wp:extent cx="1825200" cy="1368000"/>
            <wp:effectExtent l="0" t="0" r="3810" b="3810"/>
            <wp:docPr id="5118339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5200" cy="1368000"/>
                    </a:xfrm>
                    <a:prstGeom prst="rect">
                      <a:avLst/>
                    </a:prstGeom>
                    <a:noFill/>
                    <a:ln>
                      <a:noFill/>
                    </a:ln>
                  </pic:spPr>
                </pic:pic>
              </a:graphicData>
            </a:graphic>
          </wp:inline>
        </w:drawing>
      </w:r>
      <w:r>
        <w:rPr>
          <w:noProof/>
        </w:rPr>
        <w:t xml:space="preserve">   </w:t>
      </w:r>
      <w:r w:rsidRPr="00D46AFA">
        <w:rPr>
          <w:noProof/>
        </w:rPr>
        <w:drawing>
          <wp:inline distT="0" distB="0" distL="0" distR="0" wp14:anchorId="514F8E9A" wp14:editId="741E874E">
            <wp:extent cx="1825200" cy="1368000"/>
            <wp:effectExtent l="0" t="0" r="3810" b="3810"/>
            <wp:docPr id="3530189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5200" cy="1368000"/>
                    </a:xfrm>
                    <a:prstGeom prst="rect">
                      <a:avLst/>
                    </a:prstGeom>
                    <a:noFill/>
                    <a:ln>
                      <a:noFill/>
                    </a:ln>
                  </pic:spPr>
                </pic:pic>
              </a:graphicData>
            </a:graphic>
          </wp:inline>
        </w:drawing>
      </w:r>
    </w:p>
    <w:p w14:paraId="63EF7DB5" w14:textId="77777777" w:rsidR="00755F43" w:rsidRDefault="00755F43" w:rsidP="00755F43">
      <w:pPr>
        <w:pStyle w:val="ListParagraph"/>
        <w:ind w:left="360"/>
        <w:rPr>
          <w:b/>
          <w:bCs/>
          <w:i/>
          <w:iCs/>
          <w:sz w:val="22"/>
          <w:szCs w:val="22"/>
        </w:rPr>
      </w:pPr>
    </w:p>
    <w:p w14:paraId="62885F31" w14:textId="329D6A1D" w:rsidR="00755F43" w:rsidRDefault="00755F43" w:rsidP="00355E9F">
      <w:pPr>
        <w:pStyle w:val="ListParagraph"/>
        <w:numPr>
          <w:ilvl w:val="0"/>
          <w:numId w:val="1"/>
        </w:numPr>
        <w:rPr>
          <w:b/>
          <w:bCs/>
          <w:i/>
          <w:iCs/>
          <w:sz w:val="22"/>
          <w:szCs w:val="22"/>
        </w:rPr>
      </w:pPr>
      <w:r>
        <w:rPr>
          <w:b/>
          <w:bCs/>
          <w:i/>
          <w:iCs/>
          <w:sz w:val="22"/>
          <w:szCs w:val="22"/>
        </w:rPr>
        <w:t xml:space="preserve">Consultation : </w:t>
      </w:r>
    </w:p>
    <w:p w14:paraId="44145212" w14:textId="6D1BAAD4" w:rsidR="00F942AF" w:rsidRPr="00F942AF" w:rsidRDefault="00DE2767" w:rsidP="00F942AF">
      <w:pPr>
        <w:rPr>
          <w:sz w:val="22"/>
          <w:szCs w:val="22"/>
        </w:rPr>
      </w:pPr>
      <w:r>
        <w:rPr>
          <w:sz w:val="22"/>
          <w:szCs w:val="22"/>
        </w:rPr>
        <w:t>There have been various discussions with Legal and General, the landlord of No 01 Piccadilly and the existing adjacent Pavillion. In turn they have shared these proposals with their tenants whom we are in contact with to agree directional signage and ‘business open as usual’ signage that can be secured to the hoarding.</w:t>
      </w:r>
    </w:p>
    <w:p w14:paraId="06DA6CFC" w14:textId="3CE59907" w:rsidR="00755F43" w:rsidRDefault="00755F43" w:rsidP="00355E9F">
      <w:pPr>
        <w:pStyle w:val="ListParagraph"/>
        <w:numPr>
          <w:ilvl w:val="0"/>
          <w:numId w:val="1"/>
        </w:numPr>
        <w:rPr>
          <w:b/>
          <w:bCs/>
          <w:i/>
          <w:iCs/>
          <w:sz w:val="22"/>
          <w:szCs w:val="22"/>
        </w:rPr>
      </w:pPr>
      <w:r>
        <w:rPr>
          <w:b/>
          <w:bCs/>
          <w:i/>
          <w:iCs/>
          <w:sz w:val="22"/>
          <w:szCs w:val="22"/>
        </w:rPr>
        <w:t>Lighting and CCTV :</w:t>
      </w:r>
    </w:p>
    <w:p w14:paraId="7D15C931" w14:textId="71774A8D" w:rsidR="00D46AFA" w:rsidRPr="00DE2767" w:rsidRDefault="00DE2767" w:rsidP="00755F43">
      <w:pPr>
        <w:rPr>
          <w:sz w:val="22"/>
          <w:szCs w:val="22"/>
        </w:rPr>
      </w:pPr>
      <w:r w:rsidRPr="00DE2767">
        <w:rPr>
          <w:sz w:val="22"/>
          <w:szCs w:val="22"/>
        </w:rPr>
        <w:t xml:space="preserve">Temporary lighting will be installed to the perimeter of the hoarding facing the existing Pavillion and No 01 Piccadilly. </w:t>
      </w:r>
    </w:p>
    <w:p w14:paraId="635B7972" w14:textId="1D09A319" w:rsidR="00DE2767" w:rsidRPr="00DE2767" w:rsidRDefault="00DE2767" w:rsidP="00755F43">
      <w:pPr>
        <w:rPr>
          <w:sz w:val="22"/>
          <w:szCs w:val="22"/>
        </w:rPr>
      </w:pPr>
      <w:r w:rsidRPr="00DE2767">
        <w:rPr>
          <w:sz w:val="22"/>
          <w:szCs w:val="22"/>
        </w:rPr>
        <w:t xml:space="preserve">Whilst reviewing the hoarding line with GMP on </w:t>
      </w:r>
      <w:r>
        <w:rPr>
          <w:sz w:val="22"/>
          <w:szCs w:val="22"/>
        </w:rPr>
        <w:t>06 October locations and coverage of existing CCTV cameras were discussed and agreed as suitable.</w:t>
      </w:r>
    </w:p>
    <w:p w14:paraId="367DCB13" w14:textId="23A0ED8E" w:rsidR="002D3C94" w:rsidRPr="007148EC" w:rsidRDefault="00C86AE8">
      <w:pPr>
        <w:rPr>
          <w:i/>
          <w:iCs/>
        </w:rPr>
      </w:pPr>
      <w:r w:rsidRPr="007148EC">
        <w:rPr>
          <w:i/>
          <w:iCs/>
        </w:rPr>
        <w:t> </w:t>
      </w:r>
      <w:r w:rsidR="007148EC" w:rsidRPr="007148EC">
        <w:rPr>
          <w:i/>
          <w:iCs/>
        </w:rPr>
        <w:t>THE END</w:t>
      </w:r>
    </w:p>
    <w:sectPr w:rsidR="002D3C94" w:rsidRPr="007148E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A4D2A" w14:textId="77777777" w:rsidR="005D022E" w:rsidRDefault="005D022E" w:rsidP="00C86AE8">
      <w:pPr>
        <w:spacing w:after="0" w:line="240" w:lineRule="auto"/>
      </w:pPr>
      <w:r>
        <w:separator/>
      </w:r>
    </w:p>
  </w:endnote>
  <w:endnote w:type="continuationSeparator" w:id="0">
    <w:p w14:paraId="2C436F83" w14:textId="77777777" w:rsidR="005D022E" w:rsidRDefault="005D022E" w:rsidP="00C8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D8DB" w14:textId="53617412" w:rsidR="00C86AE8" w:rsidRPr="00C86AE8" w:rsidRDefault="00C86AE8">
    <w:pPr>
      <w:pStyle w:val="Footer"/>
      <w:rPr>
        <w:color w:val="A6A6A6" w:themeColor="background1" w:themeShade="A6"/>
        <w:sz w:val="18"/>
        <w:szCs w:val="18"/>
      </w:rPr>
    </w:pPr>
    <w:r w:rsidRPr="00C86AE8">
      <w:rPr>
        <w:color w:val="A6A6A6" w:themeColor="background1" w:themeShade="A6"/>
        <w:sz w:val="18"/>
        <w:szCs w:val="18"/>
      </w:rPr>
      <w:fldChar w:fldCharType="begin"/>
    </w:r>
    <w:r w:rsidRPr="00C86AE8">
      <w:rPr>
        <w:color w:val="A6A6A6" w:themeColor="background1" w:themeShade="A6"/>
        <w:sz w:val="18"/>
        <w:szCs w:val="18"/>
      </w:rPr>
      <w:instrText xml:space="preserve"> FILENAME \p \* MERGEFORMAT </w:instrText>
    </w:r>
    <w:r w:rsidRPr="00C86AE8">
      <w:rPr>
        <w:color w:val="A6A6A6" w:themeColor="background1" w:themeShade="A6"/>
        <w:sz w:val="18"/>
        <w:szCs w:val="18"/>
      </w:rPr>
      <w:fldChar w:fldCharType="separate"/>
    </w:r>
    <w:r w:rsidRPr="00C86AE8">
      <w:rPr>
        <w:noProof/>
        <w:color w:val="A6A6A6" w:themeColor="background1" w:themeShade="A6"/>
        <w:sz w:val="18"/>
        <w:szCs w:val="18"/>
      </w:rPr>
      <w:t>H:\CPP\Public Realm\Piccadilly Gardens 010023068199\PR46196 - Remodel project - Nov 2025\04_Legal_and_Approvals\03_Planning\Hoarding\PICCADILLLY GARDENS_Condition12.docx</w:t>
    </w:r>
    <w:r w:rsidRPr="00C86AE8">
      <w:rPr>
        <w:color w:val="A6A6A6" w:themeColor="background1" w:themeShade="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8EF71" w14:textId="77777777" w:rsidR="005D022E" w:rsidRDefault="005D022E" w:rsidP="00C86AE8">
      <w:pPr>
        <w:spacing w:after="0" w:line="240" w:lineRule="auto"/>
      </w:pPr>
      <w:r>
        <w:separator/>
      </w:r>
    </w:p>
  </w:footnote>
  <w:footnote w:type="continuationSeparator" w:id="0">
    <w:p w14:paraId="1E6DB36E" w14:textId="77777777" w:rsidR="005D022E" w:rsidRDefault="005D022E" w:rsidP="00C86A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63F"/>
    <w:multiLevelType w:val="hybridMultilevel"/>
    <w:tmpl w:val="8EACEB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2E4C4B"/>
    <w:multiLevelType w:val="hybridMultilevel"/>
    <w:tmpl w:val="226CD2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8670502">
    <w:abstractNumId w:val="1"/>
  </w:num>
  <w:num w:numId="2" w16cid:durableId="432020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C94"/>
    <w:rsid w:val="002D3C94"/>
    <w:rsid w:val="00355E9F"/>
    <w:rsid w:val="00392A6E"/>
    <w:rsid w:val="004860D3"/>
    <w:rsid w:val="005D022E"/>
    <w:rsid w:val="007148EC"/>
    <w:rsid w:val="00755F43"/>
    <w:rsid w:val="00780648"/>
    <w:rsid w:val="0086789D"/>
    <w:rsid w:val="00C04301"/>
    <w:rsid w:val="00C2459E"/>
    <w:rsid w:val="00C86AE8"/>
    <w:rsid w:val="00D03B50"/>
    <w:rsid w:val="00D46AFA"/>
    <w:rsid w:val="00DE2767"/>
    <w:rsid w:val="00F942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D685C"/>
  <w15:chartTrackingRefBased/>
  <w15:docId w15:val="{386B9FD4-8CCB-4D80-872F-95ACC5BC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C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C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C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C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C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C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C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C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C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C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C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C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C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C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C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C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C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C94"/>
    <w:rPr>
      <w:rFonts w:eastAsiaTheme="majorEastAsia" w:cstheme="majorBidi"/>
      <w:color w:val="272727" w:themeColor="text1" w:themeTint="D8"/>
    </w:rPr>
  </w:style>
  <w:style w:type="paragraph" w:styleId="Title">
    <w:name w:val="Title"/>
    <w:basedOn w:val="Normal"/>
    <w:next w:val="Normal"/>
    <w:link w:val="TitleChar"/>
    <w:uiPriority w:val="10"/>
    <w:qFormat/>
    <w:rsid w:val="002D3C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C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C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C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C94"/>
    <w:pPr>
      <w:spacing w:before="160"/>
      <w:jc w:val="center"/>
    </w:pPr>
    <w:rPr>
      <w:i/>
      <w:iCs/>
      <w:color w:val="404040" w:themeColor="text1" w:themeTint="BF"/>
    </w:rPr>
  </w:style>
  <w:style w:type="character" w:customStyle="1" w:styleId="QuoteChar">
    <w:name w:val="Quote Char"/>
    <w:basedOn w:val="DefaultParagraphFont"/>
    <w:link w:val="Quote"/>
    <w:uiPriority w:val="29"/>
    <w:rsid w:val="002D3C94"/>
    <w:rPr>
      <w:i/>
      <w:iCs/>
      <w:color w:val="404040" w:themeColor="text1" w:themeTint="BF"/>
    </w:rPr>
  </w:style>
  <w:style w:type="paragraph" w:styleId="ListParagraph">
    <w:name w:val="List Paragraph"/>
    <w:basedOn w:val="Normal"/>
    <w:uiPriority w:val="34"/>
    <w:qFormat/>
    <w:rsid w:val="002D3C94"/>
    <w:pPr>
      <w:ind w:left="720"/>
      <w:contextualSpacing/>
    </w:pPr>
  </w:style>
  <w:style w:type="character" w:styleId="IntenseEmphasis">
    <w:name w:val="Intense Emphasis"/>
    <w:basedOn w:val="DefaultParagraphFont"/>
    <w:uiPriority w:val="21"/>
    <w:qFormat/>
    <w:rsid w:val="002D3C94"/>
    <w:rPr>
      <w:i/>
      <w:iCs/>
      <w:color w:val="0F4761" w:themeColor="accent1" w:themeShade="BF"/>
    </w:rPr>
  </w:style>
  <w:style w:type="paragraph" w:styleId="IntenseQuote">
    <w:name w:val="Intense Quote"/>
    <w:basedOn w:val="Normal"/>
    <w:next w:val="Normal"/>
    <w:link w:val="IntenseQuoteChar"/>
    <w:uiPriority w:val="30"/>
    <w:qFormat/>
    <w:rsid w:val="002D3C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C94"/>
    <w:rPr>
      <w:i/>
      <w:iCs/>
      <w:color w:val="0F4761" w:themeColor="accent1" w:themeShade="BF"/>
    </w:rPr>
  </w:style>
  <w:style w:type="character" w:styleId="IntenseReference">
    <w:name w:val="Intense Reference"/>
    <w:basedOn w:val="DefaultParagraphFont"/>
    <w:uiPriority w:val="32"/>
    <w:qFormat/>
    <w:rsid w:val="002D3C94"/>
    <w:rPr>
      <w:b/>
      <w:bCs/>
      <w:smallCaps/>
      <w:color w:val="0F4761" w:themeColor="accent1" w:themeShade="BF"/>
      <w:spacing w:val="5"/>
    </w:rPr>
  </w:style>
  <w:style w:type="paragraph" w:styleId="NormalWeb">
    <w:name w:val="Normal (Web)"/>
    <w:basedOn w:val="Normal"/>
    <w:uiPriority w:val="99"/>
    <w:semiHidden/>
    <w:unhideWhenUsed/>
    <w:rsid w:val="00D46AFA"/>
    <w:rPr>
      <w:rFonts w:ascii="Times New Roman" w:hAnsi="Times New Roman" w:cs="Times New Roman"/>
    </w:rPr>
  </w:style>
  <w:style w:type="paragraph" w:styleId="Header">
    <w:name w:val="header"/>
    <w:basedOn w:val="Normal"/>
    <w:link w:val="HeaderChar"/>
    <w:uiPriority w:val="99"/>
    <w:unhideWhenUsed/>
    <w:rsid w:val="00C86A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AE8"/>
  </w:style>
  <w:style w:type="paragraph" w:styleId="Footer">
    <w:name w:val="footer"/>
    <w:basedOn w:val="Normal"/>
    <w:link w:val="FooterChar"/>
    <w:uiPriority w:val="99"/>
    <w:unhideWhenUsed/>
    <w:rsid w:val="00C86A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Ramsbottom</dc:creator>
  <cp:keywords/>
  <dc:description/>
  <cp:lastModifiedBy>Gillian Ramsbottom</cp:lastModifiedBy>
  <cp:revision>5</cp:revision>
  <dcterms:created xsi:type="dcterms:W3CDTF">2026-10-05T11:29:00Z</dcterms:created>
  <dcterms:modified xsi:type="dcterms:W3CDTF">2026-10-13T14:09:00Z</dcterms:modified>
</cp:coreProperties>
</file>