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7D53D" w14:textId="77777777" w:rsidR="00A544CE" w:rsidRDefault="00A544CE" w:rsidP="004C2480">
      <w:pPr>
        <w:tabs>
          <w:tab w:val="left" w:pos="1003"/>
        </w:tabs>
        <w:spacing w:after="0"/>
        <w:rPr>
          <w:color w:val="000000" w:themeColor="text1"/>
          <w:sz w:val="24"/>
          <w:szCs w:val="24"/>
          <w:lang w:val="en-GB"/>
        </w:rPr>
      </w:pPr>
    </w:p>
    <w:p w14:paraId="0D0602B8" w14:textId="77777777" w:rsidR="00A544CE" w:rsidRDefault="00A544CE" w:rsidP="004C2480">
      <w:pPr>
        <w:tabs>
          <w:tab w:val="left" w:pos="1003"/>
        </w:tabs>
        <w:spacing w:after="0"/>
        <w:rPr>
          <w:color w:val="000000" w:themeColor="text1"/>
          <w:sz w:val="24"/>
          <w:szCs w:val="24"/>
          <w:lang w:val="en-GB"/>
        </w:rPr>
      </w:pPr>
    </w:p>
    <w:p w14:paraId="35E3B26E" w14:textId="77777777" w:rsidR="00A544CE" w:rsidRDefault="00A544CE" w:rsidP="004C2480">
      <w:pPr>
        <w:tabs>
          <w:tab w:val="left" w:pos="1003"/>
        </w:tabs>
        <w:spacing w:after="0"/>
        <w:rPr>
          <w:color w:val="000000" w:themeColor="text1"/>
          <w:sz w:val="24"/>
          <w:szCs w:val="24"/>
          <w:lang w:val="en-GB"/>
        </w:rPr>
      </w:pPr>
    </w:p>
    <w:p w14:paraId="0620FE7A" w14:textId="77777777" w:rsidR="00A544CE" w:rsidRDefault="00A544CE" w:rsidP="004C2480">
      <w:pPr>
        <w:tabs>
          <w:tab w:val="left" w:pos="1003"/>
        </w:tabs>
        <w:spacing w:after="0"/>
        <w:rPr>
          <w:color w:val="000000" w:themeColor="text1"/>
          <w:sz w:val="24"/>
          <w:szCs w:val="24"/>
          <w:lang w:val="en-GB"/>
        </w:rPr>
      </w:pPr>
    </w:p>
    <w:p w14:paraId="3E4F676F" w14:textId="77777777" w:rsidR="00A544CE" w:rsidRDefault="00A544CE" w:rsidP="004C2480">
      <w:pPr>
        <w:tabs>
          <w:tab w:val="left" w:pos="1003"/>
        </w:tabs>
        <w:spacing w:after="0"/>
        <w:rPr>
          <w:color w:val="000000" w:themeColor="text1"/>
          <w:sz w:val="24"/>
          <w:szCs w:val="24"/>
          <w:lang w:val="en-GB"/>
        </w:rPr>
      </w:pPr>
    </w:p>
    <w:p w14:paraId="736147A6" w14:textId="77777777" w:rsidR="00A544CE" w:rsidRDefault="00A544CE" w:rsidP="004C2480">
      <w:pPr>
        <w:tabs>
          <w:tab w:val="left" w:pos="1003"/>
        </w:tabs>
        <w:spacing w:after="0"/>
        <w:rPr>
          <w:color w:val="000000" w:themeColor="text1"/>
          <w:sz w:val="24"/>
          <w:szCs w:val="24"/>
          <w:lang w:val="en-GB"/>
        </w:rPr>
      </w:pPr>
    </w:p>
    <w:p w14:paraId="77C93929" w14:textId="77777777" w:rsidR="00A544CE" w:rsidRDefault="00A544CE" w:rsidP="004C2480">
      <w:pPr>
        <w:tabs>
          <w:tab w:val="left" w:pos="1003"/>
        </w:tabs>
        <w:spacing w:after="0"/>
        <w:rPr>
          <w:color w:val="000000" w:themeColor="text1"/>
          <w:sz w:val="24"/>
          <w:szCs w:val="24"/>
          <w:lang w:val="en-GB"/>
        </w:rPr>
      </w:pPr>
    </w:p>
    <w:p w14:paraId="6C537A4A" w14:textId="77777777" w:rsidR="00A544CE" w:rsidRDefault="00A544CE" w:rsidP="004C2480">
      <w:pPr>
        <w:tabs>
          <w:tab w:val="left" w:pos="1003"/>
        </w:tabs>
        <w:spacing w:after="0"/>
        <w:rPr>
          <w:color w:val="000000" w:themeColor="text1"/>
          <w:sz w:val="24"/>
          <w:szCs w:val="24"/>
          <w:lang w:val="en-GB"/>
        </w:rPr>
      </w:pPr>
    </w:p>
    <w:p w14:paraId="3B4FFD4F" w14:textId="77777777" w:rsidR="00A544CE" w:rsidRDefault="00A544CE" w:rsidP="004C2480">
      <w:pPr>
        <w:tabs>
          <w:tab w:val="left" w:pos="1003"/>
        </w:tabs>
        <w:spacing w:after="0"/>
        <w:rPr>
          <w:color w:val="000000" w:themeColor="text1"/>
          <w:sz w:val="24"/>
          <w:szCs w:val="24"/>
          <w:lang w:val="en-GB"/>
        </w:rPr>
      </w:pPr>
    </w:p>
    <w:p w14:paraId="7DD90B6F" w14:textId="77777777" w:rsidR="00A544CE" w:rsidRDefault="00A544CE" w:rsidP="004C2480">
      <w:pPr>
        <w:tabs>
          <w:tab w:val="left" w:pos="1003"/>
        </w:tabs>
        <w:spacing w:after="0"/>
        <w:rPr>
          <w:color w:val="000000" w:themeColor="text1"/>
          <w:sz w:val="24"/>
          <w:szCs w:val="24"/>
          <w:lang w:val="en-GB"/>
        </w:rPr>
      </w:pPr>
    </w:p>
    <w:p w14:paraId="1B4037F7" w14:textId="77777777" w:rsidR="00A544CE" w:rsidRDefault="00A544CE" w:rsidP="004C2480">
      <w:pPr>
        <w:tabs>
          <w:tab w:val="left" w:pos="1003"/>
        </w:tabs>
        <w:spacing w:after="0"/>
        <w:rPr>
          <w:color w:val="000000" w:themeColor="text1"/>
          <w:sz w:val="24"/>
          <w:szCs w:val="24"/>
          <w:lang w:val="en-GB"/>
        </w:rPr>
      </w:pPr>
    </w:p>
    <w:p w14:paraId="34AD88EB" w14:textId="77777777" w:rsidR="00A544CE" w:rsidRDefault="00A544CE" w:rsidP="004C2480">
      <w:pPr>
        <w:tabs>
          <w:tab w:val="left" w:pos="1003"/>
        </w:tabs>
        <w:spacing w:after="0"/>
        <w:rPr>
          <w:color w:val="000000" w:themeColor="text1"/>
          <w:sz w:val="24"/>
          <w:szCs w:val="24"/>
          <w:lang w:val="en-GB"/>
        </w:rPr>
      </w:pPr>
    </w:p>
    <w:p w14:paraId="0DC1D4ED" w14:textId="77777777" w:rsidR="00A544CE" w:rsidRDefault="00A544CE" w:rsidP="004C2480">
      <w:pPr>
        <w:tabs>
          <w:tab w:val="left" w:pos="1003"/>
        </w:tabs>
        <w:spacing w:after="0"/>
        <w:rPr>
          <w:color w:val="000000" w:themeColor="text1"/>
          <w:sz w:val="24"/>
          <w:szCs w:val="24"/>
          <w:lang w:val="en-GB"/>
        </w:rPr>
      </w:pPr>
    </w:p>
    <w:p w14:paraId="354B01AC" w14:textId="77777777" w:rsidR="00A544CE" w:rsidRDefault="00A544CE" w:rsidP="004C2480">
      <w:pPr>
        <w:tabs>
          <w:tab w:val="left" w:pos="1003"/>
        </w:tabs>
        <w:spacing w:after="0"/>
        <w:rPr>
          <w:color w:val="000000" w:themeColor="text1"/>
          <w:sz w:val="24"/>
          <w:szCs w:val="24"/>
          <w:lang w:val="en-GB"/>
        </w:rPr>
      </w:pPr>
    </w:p>
    <w:p w14:paraId="2AF80586" w14:textId="77777777" w:rsidR="00A544CE" w:rsidRDefault="00A544CE" w:rsidP="004C2480">
      <w:pPr>
        <w:tabs>
          <w:tab w:val="left" w:pos="1003"/>
        </w:tabs>
        <w:spacing w:after="0"/>
        <w:rPr>
          <w:color w:val="000000" w:themeColor="text1"/>
          <w:sz w:val="24"/>
          <w:szCs w:val="24"/>
          <w:lang w:val="en-GB"/>
        </w:rPr>
      </w:pPr>
    </w:p>
    <w:p w14:paraId="6A73DE88" w14:textId="77777777" w:rsidR="00A544CE" w:rsidRDefault="00A544CE" w:rsidP="004C2480">
      <w:pPr>
        <w:tabs>
          <w:tab w:val="left" w:pos="1003"/>
        </w:tabs>
        <w:spacing w:after="0"/>
        <w:rPr>
          <w:color w:val="000000" w:themeColor="text1"/>
          <w:sz w:val="24"/>
          <w:szCs w:val="24"/>
          <w:lang w:val="en-GB"/>
        </w:rPr>
      </w:pPr>
    </w:p>
    <w:p w14:paraId="2BC92603" w14:textId="77777777" w:rsidR="00A544CE" w:rsidRDefault="00A544CE" w:rsidP="004C2480">
      <w:pPr>
        <w:tabs>
          <w:tab w:val="left" w:pos="1003"/>
        </w:tabs>
        <w:spacing w:after="0"/>
        <w:rPr>
          <w:color w:val="000000" w:themeColor="text1"/>
          <w:sz w:val="24"/>
          <w:szCs w:val="24"/>
          <w:lang w:val="en-GB"/>
        </w:rPr>
      </w:pPr>
    </w:p>
    <w:p w14:paraId="1F9E23EF" w14:textId="77777777" w:rsidR="00A544CE" w:rsidRDefault="00A544CE" w:rsidP="004C2480">
      <w:pPr>
        <w:tabs>
          <w:tab w:val="left" w:pos="1003"/>
        </w:tabs>
        <w:spacing w:after="0"/>
        <w:rPr>
          <w:color w:val="000000" w:themeColor="text1"/>
          <w:sz w:val="24"/>
          <w:szCs w:val="24"/>
          <w:lang w:val="en-GB"/>
        </w:rPr>
      </w:pPr>
    </w:p>
    <w:p w14:paraId="63335DE5" w14:textId="77777777" w:rsidR="00A544CE" w:rsidRDefault="00A544CE" w:rsidP="004C2480">
      <w:pPr>
        <w:tabs>
          <w:tab w:val="left" w:pos="1003"/>
        </w:tabs>
        <w:spacing w:after="0"/>
        <w:rPr>
          <w:color w:val="000000" w:themeColor="text1"/>
          <w:sz w:val="24"/>
          <w:szCs w:val="24"/>
          <w:lang w:val="en-GB"/>
        </w:rPr>
      </w:pPr>
    </w:p>
    <w:p w14:paraId="3246F243" w14:textId="77777777" w:rsidR="00A544CE" w:rsidRDefault="00A544CE" w:rsidP="004C2480">
      <w:pPr>
        <w:tabs>
          <w:tab w:val="left" w:pos="1003"/>
        </w:tabs>
        <w:spacing w:after="0"/>
        <w:rPr>
          <w:color w:val="000000" w:themeColor="text1"/>
          <w:sz w:val="24"/>
          <w:szCs w:val="24"/>
          <w:lang w:val="en-GB"/>
        </w:rPr>
      </w:pPr>
    </w:p>
    <w:p w14:paraId="3FDCD4EB" w14:textId="77777777" w:rsidR="00A544CE" w:rsidRDefault="00A544CE" w:rsidP="004C2480">
      <w:pPr>
        <w:tabs>
          <w:tab w:val="left" w:pos="1003"/>
        </w:tabs>
        <w:spacing w:after="0"/>
        <w:rPr>
          <w:color w:val="000000" w:themeColor="text1"/>
          <w:sz w:val="24"/>
          <w:szCs w:val="24"/>
          <w:lang w:val="en-GB"/>
        </w:rPr>
      </w:pPr>
    </w:p>
    <w:p w14:paraId="776A851D" w14:textId="77777777" w:rsidR="00A544CE" w:rsidRDefault="00A544CE" w:rsidP="004C2480">
      <w:pPr>
        <w:tabs>
          <w:tab w:val="left" w:pos="1003"/>
        </w:tabs>
        <w:spacing w:after="0"/>
        <w:rPr>
          <w:color w:val="000000" w:themeColor="text1"/>
          <w:sz w:val="24"/>
          <w:szCs w:val="24"/>
          <w:lang w:val="en-GB"/>
        </w:rPr>
      </w:pPr>
    </w:p>
    <w:p w14:paraId="23935DD8" w14:textId="77777777" w:rsidR="00A544CE" w:rsidRDefault="00A544CE" w:rsidP="004C2480">
      <w:pPr>
        <w:tabs>
          <w:tab w:val="left" w:pos="1003"/>
        </w:tabs>
        <w:spacing w:after="0"/>
        <w:rPr>
          <w:color w:val="000000" w:themeColor="text1"/>
          <w:sz w:val="24"/>
          <w:szCs w:val="24"/>
          <w:lang w:val="en-GB"/>
        </w:rPr>
      </w:pPr>
    </w:p>
    <w:p w14:paraId="49451E25" w14:textId="77777777" w:rsidR="00A544CE" w:rsidRDefault="00A544CE" w:rsidP="004C2480">
      <w:pPr>
        <w:tabs>
          <w:tab w:val="left" w:pos="1003"/>
        </w:tabs>
        <w:spacing w:after="0"/>
        <w:rPr>
          <w:color w:val="000000" w:themeColor="text1"/>
          <w:sz w:val="24"/>
          <w:szCs w:val="24"/>
          <w:lang w:val="en-GB"/>
        </w:rPr>
      </w:pPr>
    </w:p>
    <w:p w14:paraId="1D067122" w14:textId="77777777" w:rsidR="00A544CE" w:rsidRDefault="00A544CE" w:rsidP="004C2480">
      <w:pPr>
        <w:tabs>
          <w:tab w:val="left" w:pos="1003"/>
        </w:tabs>
        <w:spacing w:after="0"/>
        <w:rPr>
          <w:color w:val="000000" w:themeColor="text1"/>
          <w:sz w:val="24"/>
          <w:szCs w:val="24"/>
          <w:lang w:val="en-GB"/>
        </w:rPr>
      </w:pPr>
    </w:p>
    <w:p w14:paraId="6EDF5315" w14:textId="77777777" w:rsidR="00A544CE" w:rsidRDefault="00A544CE" w:rsidP="004C2480">
      <w:pPr>
        <w:tabs>
          <w:tab w:val="left" w:pos="1003"/>
        </w:tabs>
        <w:spacing w:after="0"/>
        <w:rPr>
          <w:color w:val="000000" w:themeColor="text1"/>
          <w:sz w:val="24"/>
          <w:szCs w:val="24"/>
          <w:lang w:val="en-GB"/>
        </w:rPr>
      </w:pPr>
    </w:p>
    <w:p w14:paraId="28EA5CD5" w14:textId="77777777" w:rsidR="00A544CE" w:rsidRDefault="00A544CE" w:rsidP="004C2480">
      <w:pPr>
        <w:tabs>
          <w:tab w:val="left" w:pos="1003"/>
        </w:tabs>
        <w:spacing w:after="0"/>
        <w:rPr>
          <w:color w:val="000000" w:themeColor="text1"/>
          <w:sz w:val="24"/>
          <w:szCs w:val="24"/>
          <w:lang w:val="en-GB"/>
        </w:rPr>
      </w:pPr>
    </w:p>
    <w:p w14:paraId="6800F479" w14:textId="77777777" w:rsidR="00A544CE" w:rsidRDefault="00A544CE" w:rsidP="004C2480">
      <w:pPr>
        <w:tabs>
          <w:tab w:val="left" w:pos="1003"/>
        </w:tabs>
        <w:spacing w:after="0"/>
        <w:rPr>
          <w:color w:val="000000" w:themeColor="text1"/>
          <w:sz w:val="24"/>
          <w:szCs w:val="24"/>
          <w:lang w:val="en-GB"/>
        </w:rPr>
      </w:pPr>
    </w:p>
    <w:p w14:paraId="39324C54" w14:textId="77777777" w:rsidR="00A544CE" w:rsidRDefault="00A544CE" w:rsidP="004C2480">
      <w:pPr>
        <w:tabs>
          <w:tab w:val="left" w:pos="1003"/>
        </w:tabs>
        <w:spacing w:after="0"/>
        <w:rPr>
          <w:color w:val="000000" w:themeColor="text1"/>
          <w:sz w:val="24"/>
          <w:szCs w:val="24"/>
          <w:lang w:val="en-GB"/>
        </w:rPr>
      </w:pPr>
    </w:p>
    <w:p w14:paraId="7680E886" w14:textId="77777777" w:rsidR="00A544CE" w:rsidRDefault="00A544CE" w:rsidP="004C2480">
      <w:pPr>
        <w:tabs>
          <w:tab w:val="left" w:pos="1003"/>
        </w:tabs>
        <w:spacing w:after="0"/>
        <w:rPr>
          <w:color w:val="000000" w:themeColor="text1"/>
          <w:sz w:val="24"/>
          <w:szCs w:val="24"/>
          <w:lang w:val="en-GB"/>
        </w:rPr>
      </w:pPr>
    </w:p>
    <w:p w14:paraId="2C3EEC25" w14:textId="77777777" w:rsidR="00A544CE" w:rsidRDefault="00A544CE" w:rsidP="004C2480">
      <w:pPr>
        <w:tabs>
          <w:tab w:val="left" w:pos="1003"/>
        </w:tabs>
        <w:spacing w:after="0"/>
        <w:rPr>
          <w:color w:val="000000" w:themeColor="text1"/>
          <w:sz w:val="24"/>
          <w:szCs w:val="24"/>
          <w:lang w:val="en-GB"/>
        </w:rPr>
      </w:pPr>
    </w:p>
    <w:p w14:paraId="536E1ED0" w14:textId="77777777" w:rsidR="00B07B2F" w:rsidRPr="00B07B2F" w:rsidRDefault="00B07B2F" w:rsidP="00B07B2F">
      <w:pPr>
        <w:tabs>
          <w:tab w:val="left" w:pos="1003"/>
        </w:tabs>
        <w:spacing w:after="0"/>
        <w:rPr>
          <w:color w:val="000000" w:themeColor="text1"/>
          <w:sz w:val="24"/>
          <w:szCs w:val="24"/>
          <w:lang w:val="en-GB"/>
        </w:rPr>
      </w:pPr>
      <w:r w:rsidRPr="00B07B2F">
        <w:rPr>
          <w:b/>
          <w:bCs/>
          <w:color w:val="000000" w:themeColor="text1"/>
          <w:sz w:val="24"/>
          <w:szCs w:val="24"/>
          <w:lang w:val="en-GB"/>
        </w:rPr>
        <w:t>Author:</w:t>
      </w:r>
      <w:r w:rsidRPr="00B07B2F">
        <w:rPr>
          <w:color w:val="000000" w:themeColor="text1"/>
          <w:sz w:val="24"/>
          <w:szCs w:val="24"/>
          <w:lang w:val="en-GB"/>
        </w:rPr>
        <w:t xml:space="preserve"> Sarah Tate, Project Manager, Wythenshawe Community Housing Group</w:t>
      </w:r>
    </w:p>
    <w:p w14:paraId="7D0DF929" w14:textId="77777777" w:rsidR="00B07B2F" w:rsidRDefault="00B07B2F" w:rsidP="00B07B2F">
      <w:pPr>
        <w:tabs>
          <w:tab w:val="left" w:pos="1003"/>
        </w:tabs>
        <w:spacing w:after="0"/>
        <w:rPr>
          <w:color w:val="000000" w:themeColor="text1"/>
          <w:sz w:val="24"/>
          <w:szCs w:val="24"/>
          <w:lang w:val="en-GB"/>
        </w:rPr>
      </w:pPr>
    </w:p>
    <w:p w14:paraId="5ACD6338" w14:textId="2B8637ED" w:rsidR="00A74A38" w:rsidRDefault="00B07B2F" w:rsidP="00B07B2F">
      <w:pPr>
        <w:tabs>
          <w:tab w:val="left" w:pos="1003"/>
        </w:tabs>
        <w:spacing w:after="0"/>
        <w:rPr>
          <w:color w:val="000000" w:themeColor="text1"/>
          <w:sz w:val="24"/>
          <w:szCs w:val="24"/>
          <w:lang w:val="en-GB"/>
        </w:rPr>
      </w:pPr>
      <w:r w:rsidRPr="00B07B2F">
        <w:rPr>
          <w:b/>
          <w:bCs/>
          <w:color w:val="000000" w:themeColor="text1"/>
          <w:sz w:val="24"/>
          <w:szCs w:val="24"/>
          <w:lang w:val="en-GB"/>
        </w:rPr>
        <w:t>Date:</w:t>
      </w:r>
      <w:r w:rsidRPr="00B07B2F">
        <w:rPr>
          <w:color w:val="000000" w:themeColor="text1"/>
          <w:sz w:val="24"/>
          <w:szCs w:val="24"/>
          <w:lang w:val="en-GB"/>
        </w:rPr>
        <w:t xml:space="preserve"> </w:t>
      </w:r>
      <w:r>
        <w:rPr>
          <w:color w:val="000000" w:themeColor="text1"/>
          <w:sz w:val="24"/>
          <w:szCs w:val="24"/>
          <w:lang w:val="en-GB"/>
        </w:rPr>
        <w:t>Ju</w:t>
      </w:r>
      <w:r w:rsidR="0027512B">
        <w:rPr>
          <w:color w:val="000000" w:themeColor="text1"/>
          <w:sz w:val="24"/>
          <w:szCs w:val="24"/>
          <w:lang w:val="en-GB"/>
        </w:rPr>
        <w:t>ly</w:t>
      </w:r>
      <w:r w:rsidRPr="00B07B2F">
        <w:rPr>
          <w:color w:val="000000" w:themeColor="text1"/>
          <w:sz w:val="24"/>
          <w:szCs w:val="24"/>
          <w:lang w:val="en-GB"/>
        </w:rPr>
        <w:t xml:space="preserve"> 202</w:t>
      </w:r>
      <w:r w:rsidR="00253C3A">
        <w:rPr>
          <w:noProof/>
          <w:color w:val="000000" w:themeColor="text1"/>
          <w:sz w:val="24"/>
          <w:szCs w:val="24"/>
        </w:rPr>
        <mc:AlternateContent>
          <mc:Choice Requires="wps">
            <w:drawing>
              <wp:anchor distT="0" distB="0" distL="114300" distR="114300" simplePos="0" relativeHeight="251658240" behindDoc="0" locked="1" layoutInCell="0" allowOverlap="1" wp14:anchorId="4D2CD74D" wp14:editId="0BF0DD24">
                <wp:simplePos x="0" y="0"/>
                <wp:positionH relativeFrom="margin">
                  <wp:align>left</wp:align>
                </wp:positionH>
                <wp:positionV relativeFrom="page">
                  <wp:posOffset>1838325</wp:posOffset>
                </wp:positionV>
                <wp:extent cx="4990465" cy="2771775"/>
                <wp:effectExtent l="0" t="0" r="635" b="9525"/>
                <wp:wrapNone/>
                <wp:docPr id="1521625086" name="Text Box 2"/>
                <wp:cNvGraphicFramePr/>
                <a:graphic xmlns:a="http://schemas.openxmlformats.org/drawingml/2006/main">
                  <a:graphicData uri="http://schemas.microsoft.com/office/word/2010/wordprocessingShape">
                    <wps:wsp>
                      <wps:cNvSpPr txBox="1"/>
                      <wps:spPr>
                        <a:xfrm>
                          <a:off x="0" y="0"/>
                          <a:ext cx="4990465" cy="2771775"/>
                        </a:xfrm>
                        <a:prstGeom prst="rect">
                          <a:avLst/>
                        </a:prstGeom>
                        <a:noFill/>
                        <a:ln w="6350">
                          <a:noFill/>
                        </a:ln>
                      </wps:spPr>
                      <wps:txbx>
                        <w:txbxContent>
                          <w:p w14:paraId="1CA9E815" w14:textId="77777777" w:rsidR="00A544CE" w:rsidRPr="007D79EA" w:rsidRDefault="00A544CE" w:rsidP="00A544CE">
                            <w:pPr>
                              <w:rPr>
                                <w:rFonts w:asciiTheme="majorHAnsi" w:hAnsiTheme="majorHAnsi"/>
                                <w:b/>
                                <w:sz w:val="52"/>
                              </w:rPr>
                            </w:pPr>
                            <w:r w:rsidRPr="007D79EA">
                              <w:rPr>
                                <w:rFonts w:asciiTheme="majorHAnsi" w:hAnsiTheme="majorHAnsi"/>
                                <w:b/>
                                <w:sz w:val="52"/>
                              </w:rPr>
                              <w:t xml:space="preserve">Affordable Housing Statement </w:t>
                            </w:r>
                          </w:p>
                          <w:p w14:paraId="3D391E08" w14:textId="77777777" w:rsidR="00A544CE" w:rsidRDefault="00A544CE" w:rsidP="00A544CE">
                            <w:pPr>
                              <w:rPr>
                                <w:rFonts w:asciiTheme="majorHAnsi" w:hAnsiTheme="majorHAnsi"/>
                                <w:b/>
                                <w:sz w:val="22"/>
                                <w:szCs w:val="22"/>
                              </w:rPr>
                            </w:pPr>
                          </w:p>
                          <w:p w14:paraId="58BB9887" w14:textId="49FA09B4" w:rsidR="00723C70" w:rsidRPr="00723C70" w:rsidRDefault="00BB4DE5" w:rsidP="00723C70">
                            <w:pPr>
                              <w:pStyle w:val="Heading1"/>
                              <w:rPr>
                                <w:color w:val="auto"/>
                                <w:sz w:val="32"/>
                              </w:rPr>
                            </w:pPr>
                            <w:r w:rsidRPr="00BB4DE5">
                              <w:rPr>
                                <w:color w:val="auto"/>
                                <w:sz w:val="32"/>
                              </w:rPr>
                              <w:t>)</w:t>
                            </w:r>
                            <w:r w:rsidR="00723C70" w:rsidRPr="00723C70">
                              <w:t xml:space="preserve"> </w:t>
                            </w:r>
                            <w:r w:rsidR="00723C70" w:rsidRPr="00723C70">
                              <w:rPr>
                                <w:color w:val="auto"/>
                                <w:sz w:val="32"/>
                              </w:rPr>
                              <w:t>Residential Development Comprising 8</w:t>
                            </w:r>
                            <w:r w:rsidR="00723C70">
                              <w:rPr>
                                <w:color w:val="auto"/>
                                <w:sz w:val="32"/>
                              </w:rPr>
                              <w:t>4</w:t>
                            </w:r>
                            <w:r w:rsidR="00723C70" w:rsidRPr="00723C70">
                              <w:rPr>
                                <w:color w:val="auto"/>
                                <w:sz w:val="32"/>
                              </w:rPr>
                              <w:t xml:space="preserve"> Affordable Apartments with Associated Works</w:t>
                            </w:r>
                          </w:p>
                          <w:p w14:paraId="27A99D78" w14:textId="2FD753A0" w:rsidR="00BB4DE5" w:rsidRDefault="00723C70" w:rsidP="00723C70">
                            <w:pPr>
                              <w:pStyle w:val="Heading1"/>
                              <w:rPr>
                                <w:color w:val="auto"/>
                                <w:sz w:val="32"/>
                              </w:rPr>
                            </w:pPr>
                            <w:r w:rsidRPr="00723C70">
                              <w:rPr>
                                <w:color w:val="auto"/>
                                <w:sz w:val="32"/>
                              </w:rPr>
                              <w:t>Wythenshawe Plot C2</w:t>
                            </w:r>
                          </w:p>
                          <w:p w14:paraId="25FE848F" w14:textId="7982BD6B" w:rsidR="00A544CE" w:rsidRPr="007D79EA" w:rsidRDefault="00A544CE" w:rsidP="00A544CE">
                            <w:pPr>
                              <w:pStyle w:val="Heading1"/>
                              <w:rPr>
                                <w:color w:val="auto"/>
                                <w:sz w:val="32"/>
                              </w:rPr>
                            </w:pPr>
                            <w:r w:rsidRPr="007D79EA">
                              <w:rPr>
                                <w:color w:val="auto"/>
                                <w:sz w:val="32"/>
                              </w:rPr>
                              <w:t xml:space="preserve">For Wythenshawe Community Housing Group </w:t>
                            </w:r>
                          </w:p>
                          <w:p w14:paraId="43D78741" w14:textId="6B108B8A" w:rsidR="00C02C45" w:rsidRPr="00253C3A" w:rsidRDefault="00C02C45" w:rsidP="00C02C45">
                            <w:pPr>
                              <w:spacing w:after="0"/>
                              <w:rPr>
                                <w:sz w:val="24"/>
                              </w:rPr>
                            </w:pP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2CD74D" id="_x0000_t202" coordsize="21600,21600" o:spt="202" path="m,l,21600r21600,l21600,xe">
                <v:stroke joinstyle="miter"/>
                <v:path gradientshapeok="t" o:connecttype="rect"/>
              </v:shapetype>
              <v:shape id="Text Box 2" o:spid="_x0000_s1026" type="#_x0000_t202" style="position:absolute;margin-left:0;margin-top:144.75pt;width:392.95pt;height:218.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" o:allowincell="f" filled="f" stroked="f" strokeweight=".5pt">
                <v:textbox inset="0,0,0,0">
                  <w:txbxContent>
                    <w:p w14:paraId="1CA9E815" w14:textId="77777777" w:rsidR="00A544CE" w:rsidRPr="007D79EA" w:rsidRDefault="00A544CE" w:rsidP="00A544CE">
                      <w:pPr>
                        <w:rPr>
                          <w:rFonts w:asciiTheme="majorHAnsi" w:hAnsiTheme="majorHAnsi"/>
                          <w:b/>
                          <w:sz w:val="52"/>
                        </w:rPr>
                      </w:pPr>
                      <w:r w:rsidRPr="007D79EA">
                        <w:rPr>
                          <w:rFonts w:asciiTheme="majorHAnsi" w:hAnsiTheme="majorHAnsi"/>
                          <w:b/>
                          <w:sz w:val="52"/>
                        </w:rPr>
                        <w:t xml:space="preserve">Affordable Housing Statement </w:t>
                      </w:r>
                    </w:p>
                    <w:p w14:paraId="3D391E08" w14:textId="77777777" w:rsidR="00A544CE" w:rsidRDefault="00A544CE" w:rsidP="00A544CE">
                      <w:pPr>
                        <w:rPr>
                          <w:rFonts w:asciiTheme="majorHAnsi" w:hAnsiTheme="majorHAnsi"/>
                          <w:b/>
                          <w:sz w:val="22"/>
                          <w:szCs w:val="22"/>
                        </w:rPr>
                      </w:pPr>
                    </w:p>
                    <w:p w14:paraId="58BB9887" w14:textId="49FA09B4" w:rsidR="00723C70" w:rsidRPr="00723C70" w:rsidRDefault="00BB4DE5" w:rsidP="00723C70">
                      <w:pPr>
                        <w:pStyle w:val="Heading1"/>
                        <w:rPr>
                          <w:color w:val="auto"/>
                          <w:sz w:val="32"/>
                        </w:rPr>
                      </w:pPr>
                      <w:r w:rsidRPr="00BB4DE5">
                        <w:rPr>
                          <w:color w:val="auto"/>
                          <w:sz w:val="32"/>
                        </w:rPr>
                        <w:t>)</w:t>
                      </w:r>
                      <w:r w:rsidR="00723C70" w:rsidRPr="00723C70">
                        <w:t xml:space="preserve"> </w:t>
                      </w:r>
                      <w:r w:rsidR="00723C70" w:rsidRPr="00723C70">
                        <w:rPr>
                          <w:color w:val="auto"/>
                          <w:sz w:val="32"/>
                        </w:rPr>
                        <w:t>Residential Development Comprising 8</w:t>
                      </w:r>
                      <w:r w:rsidR="00723C70">
                        <w:rPr>
                          <w:color w:val="auto"/>
                          <w:sz w:val="32"/>
                        </w:rPr>
                        <w:t>4</w:t>
                      </w:r>
                      <w:r w:rsidR="00723C70" w:rsidRPr="00723C70">
                        <w:rPr>
                          <w:color w:val="auto"/>
                          <w:sz w:val="32"/>
                        </w:rPr>
                        <w:t xml:space="preserve"> Affordable Apartments with Associated Works</w:t>
                      </w:r>
                    </w:p>
                    <w:p w14:paraId="27A99D78" w14:textId="2FD753A0" w:rsidR="00BB4DE5" w:rsidRDefault="00723C70" w:rsidP="00723C70">
                      <w:pPr>
                        <w:pStyle w:val="Heading1"/>
                        <w:rPr>
                          <w:color w:val="auto"/>
                          <w:sz w:val="32"/>
                        </w:rPr>
                      </w:pPr>
                      <w:r w:rsidRPr="00723C70">
                        <w:rPr>
                          <w:color w:val="auto"/>
                          <w:sz w:val="32"/>
                        </w:rPr>
                        <w:t>Wythenshawe Plot C2</w:t>
                      </w:r>
                    </w:p>
                    <w:p w14:paraId="25FE848F" w14:textId="7982BD6B" w:rsidR="00A544CE" w:rsidRPr="007D79EA" w:rsidRDefault="00A544CE" w:rsidP="00A544CE">
                      <w:pPr>
                        <w:pStyle w:val="Heading1"/>
                        <w:rPr>
                          <w:color w:val="auto"/>
                          <w:sz w:val="32"/>
                        </w:rPr>
                      </w:pPr>
                      <w:r w:rsidRPr="007D79EA">
                        <w:rPr>
                          <w:color w:val="auto"/>
                          <w:sz w:val="32"/>
                        </w:rPr>
                        <w:t xml:space="preserve">For Wythenshawe Community Housing Group </w:t>
                      </w:r>
                    </w:p>
                    <w:p w14:paraId="43D78741" w14:textId="6B108B8A" w:rsidR="00C02C45" w:rsidRPr="00253C3A" w:rsidRDefault="00C02C45" w:rsidP="00C02C45">
                      <w:pPr>
                        <w:spacing w:after="0"/>
                        <w:rPr>
                          <w:sz w:val="24"/>
                        </w:rPr>
                      </w:pPr>
                    </w:p>
                  </w:txbxContent>
                </v:textbox>
                <w10:wrap anchorx="margin" anchory="page"/>
                <w10:anchorlock/>
              </v:shape>
            </w:pict>
          </mc:Fallback>
        </mc:AlternateContent>
      </w:r>
      <w:r>
        <w:rPr>
          <w:color w:val="000000" w:themeColor="text1"/>
          <w:sz w:val="24"/>
          <w:szCs w:val="24"/>
          <w:lang w:val="en-GB"/>
        </w:rPr>
        <w:t>6</w:t>
      </w:r>
    </w:p>
    <w:p w14:paraId="3C3440F0" w14:textId="77777777" w:rsidR="00F3128A" w:rsidRPr="00A74A38" w:rsidRDefault="00F3128A" w:rsidP="004C2480">
      <w:pPr>
        <w:tabs>
          <w:tab w:val="left" w:pos="1003"/>
        </w:tabs>
        <w:spacing w:after="0"/>
        <w:rPr>
          <w:color w:val="000000" w:themeColor="text1"/>
          <w:sz w:val="24"/>
          <w:szCs w:val="24"/>
          <w:lang w:val="en-GB"/>
        </w:rPr>
      </w:pPr>
    </w:p>
    <w:p w14:paraId="686DA81D" w14:textId="7A63A651" w:rsidR="000B0F69" w:rsidRDefault="000B0F69" w:rsidP="00A544CE">
      <w:pPr>
        <w:tabs>
          <w:tab w:val="left" w:pos="1003"/>
        </w:tabs>
        <w:spacing w:after="0"/>
        <w:rPr>
          <w:color w:val="000000" w:themeColor="text1"/>
          <w:sz w:val="24"/>
          <w:szCs w:val="24"/>
        </w:rPr>
      </w:pPr>
    </w:p>
    <w:p w14:paraId="5A51496A" w14:textId="77777777" w:rsidR="00D40AAB" w:rsidRDefault="00D40AAB" w:rsidP="004C2480">
      <w:pPr>
        <w:tabs>
          <w:tab w:val="left" w:pos="1003"/>
        </w:tabs>
        <w:spacing w:after="0"/>
        <w:rPr>
          <w:color w:val="000000" w:themeColor="text1"/>
          <w:sz w:val="24"/>
          <w:szCs w:val="24"/>
        </w:rPr>
      </w:pPr>
    </w:p>
    <w:p w14:paraId="1E5A4BCA" w14:textId="77777777" w:rsidR="00A544CE" w:rsidRDefault="00A544CE" w:rsidP="004C2480">
      <w:pPr>
        <w:tabs>
          <w:tab w:val="left" w:pos="1003"/>
        </w:tabs>
        <w:spacing w:after="0"/>
        <w:rPr>
          <w:color w:val="000000" w:themeColor="text1"/>
          <w:sz w:val="24"/>
          <w:szCs w:val="24"/>
        </w:rPr>
      </w:pPr>
    </w:p>
    <w:p w14:paraId="4E1D01BF" w14:textId="77777777" w:rsidR="00A544CE" w:rsidRDefault="00A544CE" w:rsidP="004C2480">
      <w:pPr>
        <w:tabs>
          <w:tab w:val="left" w:pos="1003"/>
        </w:tabs>
        <w:spacing w:after="0"/>
        <w:rPr>
          <w:color w:val="000000" w:themeColor="text1"/>
          <w:sz w:val="24"/>
          <w:szCs w:val="24"/>
        </w:rPr>
      </w:pPr>
    </w:p>
    <w:p w14:paraId="2237175C" w14:textId="77777777" w:rsidR="00A544CE" w:rsidRDefault="00A544CE" w:rsidP="004C2480">
      <w:pPr>
        <w:tabs>
          <w:tab w:val="left" w:pos="1003"/>
        </w:tabs>
        <w:spacing w:after="0"/>
        <w:rPr>
          <w:color w:val="000000" w:themeColor="text1"/>
          <w:sz w:val="24"/>
          <w:szCs w:val="24"/>
        </w:rPr>
      </w:pPr>
    </w:p>
    <w:p w14:paraId="2C704418" w14:textId="77777777" w:rsidR="00A544CE" w:rsidRDefault="00A544CE" w:rsidP="004C2480">
      <w:pPr>
        <w:tabs>
          <w:tab w:val="left" w:pos="1003"/>
        </w:tabs>
        <w:spacing w:after="0"/>
        <w:rPr>
          <w:color w:val="000000" w:themeColor="text1"/>
          <w:sz w:val="24"/>
          <w:szCs w:val="24"/>
        </w:rPr>
      </w:pPr>
    </w:p>
    <w:p w14:paraId="1693228F" w14:textId="77777777" w:rsidR="00A544CE" w:rsidRPr="00897B69" w:rsidRDefault="00A544CE" w:rsidP="00A544CE">
      <w:pPr>
        <w:pStyle w:val="NoSpacing"/>
        <w:rPr>
          <w:rFonts w:asciiTheme="majorHAnsi" w:hAnsiTheme="majorHAnsi"/>
          <w:sz w:val="48"/>
          <w:szCs w:val="48"/>
        </w:rPr>
      </w:pPr>
      <w:r w:rsidRPr="00897B69">
        <w:rPr>
          <w:rFonts w:asciiTheme="majorHAnsi" w:hAnsiTheme="majorHAnsi"/>
          <w:sz w:val="48"/>
          <w:szCs w:val="48"/>
        </w:rPr>
        <w:t>Contents:</w:t>
      </w:r>
    </w:p>
    <w:p w14:paraId="25A19580" w14:textId="77777777" w:rsidR="00A544CE" w:rsidRDefault="00A544CE" w:rsidP="00A544CE">
      <w:pPr>
        <w:rPr>
          <w:rFonts w:asciiTheme="majorHAnsi" w:hAnsiTheme="majorHAnsi"/>
          <w:b/>
          <w:sz w:val="22"/>
          <w:szCs w:val="22"/>
        </w:rPr>
      </w:pPr>
    </w:p>
    <w:p w14:paraId="42F12944"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 xml:space="preserve">Background </w:t>
      </w:r>
    </w:p>
    <w:p w14:paraId="38C8E068"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Introduction</w:t>
      </w:r>
    </w:p>
    <w:p w14:paraId="0D55D34C"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Planning policy context</w:t>
      </w:r>
    </w:p>
    <w:p w14:paraId="3097B219"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Proposed affordable housing provision</w:t>
      </w:r>
    </w:p>
    <w:p w14:paraId="4698385B" w14:textId="77777777" w:rsidR="00A544CE" w:rsidRPr="004628B9"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Conclusions</w:t>
      </w:r>
    </w:p>
    <w:p w14:paraId="7AB5DB04" w14:textId="54E480F8" w:rsidR="00A544CE" w:rsidRDefault="00A544CE" w:rsidP="004C2480">
      <w:pPr>
        <w:tabs>
          <w:tab w:val="left" w:pos="1003"/>
        </w:tabs>
        <w:spacing w:after="0"/>
        <w:rPr>
          <w:color w:val="000000" w:themeColor="text1"/>
          <w:sz w:val="24"/>
          <w:szCs w:val="24"/>
        </w:rPr>
      </w:pPr>
    </w:p>
    <w:p w14:paraId="4E9A5F8E" w14:textId="77777777" w:rsidR="00A544CE" w:rsidRDefault="00A544CE" w:rsidP="004C2480">
      <w:pPr>
        <w:tabs>
          <w:tab w:val="left" w:pos="1003"/>
        </w:tabs>
        <w:spacing w:after="0"/>
        <w:rPr>
          <w:color w:val="000000" w:themeColor="text1"/>
          <w:sz w:val="24"/>
          <w:szCs w:val="24"/>
        </w:rPr>
      </w:pPr>
    </w:p>
    <w:p w14:paraId="1A10E0A2" w14:textId="77777777" w:rsidR="00A544CE" w:rsidRDefault="00A544CE" w:rsidP="004C2480">
      <w:pPr>
        <w:tabs>
          <w:tab w:val="left" w:pos="1003"/>
        </w:tabs>
        <w:spacing w:after="0"/>
        <w:rPr>
          <w:color w:val="000000" w:themeColor="text1"/>
          <w:sz w:val="24"/>
          <w:szCs w:val="24"/>
        </w:rPr>
      </w:pPr>
    </w:p>
    <w:p w14:paraId="00752381" w14:textId="77777777" w:rsidR="00A544CE" w:rsidRDefault="00A544CE" w:rsidP="004C2480">
      <w:pPr>
        <w:tabs>
          <w:tab w:val="left" w:pos="1003"/>
        </w:tabs>
        <w:spacing w:after="0"/>
        <w:rPr>
          <w:color w:val="000000" w:themeColor="text1"/>
          <w:sz w:val="24"/>
          <w:szCs w:val="24"/>
        </w:rPr>
      </w:pPr>
    </w:p>
    <w:p w14:paraId="292410A5" w14:textId="77777777" w:rsidR="00A544CE" w:rsidRDefault="00A544CE" w:rsidP="004C2480">
      <w:pPr>
        <w:tabs>
          <w:tab w:val="left" w:pos="1003"/>
        </w:tabs>
        <w:spacing w:after="0"/>
        <w:rPr>
          <w:color w:val="000000" w:themeColor="text1"/>
          <w:sz w:val="24"/>
          <w:szCs w:val="24"/>
        </w:rPr>
      </w:pPr>
    </w:p>
    <w:p w14:paraId="6621AFA7" w14:textId="77777777" w:rsidR="00A544CE" w:rsidRDefault="00A544CE" w:rsidP="004C2480">
      <w:pPr>
        <w:tabs>
          <w:tab w:val="left" w:pos="1003"/>
        </w:tabs>
        <w:spacing w:after="0"/>
        <w:rPr>
          <w:color w:val="000000" w:themeColor="text1"/>
          <w:sz w:val="24"/>
          <w:szCs w:val="24"/>
        </w:rPr>
      </w:pPr>
    </w:p>
    <w:p w14:paraId="3AAD8706" w14:textId="77777777" w:rsidR="00A544CE" w:rsidRDefault="00A544CE" w:rsidP="004C2480">
      <w:pPr>
        <w:tabs>
          <w:tab w:val="left" w:pos="1003"/>
        </w:tabs>
        <w:spacing w:after="0"/>
        <w:rPr>
          <w:color w:val="000000" w:themeColor="text1"/>
          <w:sz w:val="24"/>
          <w:szCs w:val="24"/>
        </w:rPr>
      </w:pPr>
    </w:p>
    <w:p w14:paraId="5FCFC37F" w14:textId="77777777" w:rsidR="00A544CE" w:rsidRDefault="00A544CE" w:rsidP="004C2480">
      <w:pPr>
        <w:tabs>
          <w:tab w:val="left" w:pos="1003"/>
        </w:tabs>
        <w:spacing w:after="0"/>
        <w:rPr>
          <w:color w:val="000000" w:themeColor="text1"/>
          <w:sz w:val="24"/>
          <w:szCs w:val="24"/>
        </w:rPr>
      </w:pPr>
    </w:p>
    <w:p w14:paraId="4FBF0CE4" w14:textId="77777777" w:rsidR="00A544CE" w:rsidRDefault="00A544CE" w:rsidP="004C2480">
      <w:pPr>
        <w:tabs>
          <w:tab w:val="left" w:pos="1003"/>
        </w:tabs>
        <w:spacing w:after="0"/>
        <w:rPr>
          <w:color w:val="000000" w:themeColor="text1"/>
          <w:sz w:val="24"/>
          <w:szCs w:val="24"/>
        </w:rPr>
      </w:pPr>
    </w:p>
    <w:p w14:paraId="136A2964" w14:textId="77777777" w:rsidR="00A544CE" w:rsidRDefault="00A544CE" w:rsidP="004C2480">
      <w:pPr>
        <w:tabs>
          <w:tab w:val="left" w:pos="1003"/>
        </w:tabs>
        <w:spacing w:after="0"/>
        <w:rPr>
          <w:color w:val="000000" w:themeColor="text1"/>
          <w:sz w:val="24"/>
          <w:szCs w:val="24"/>
        </w:rPr>
      </w:pPr>
    </w:p>
    <w:p w14:paraId="45DEF3FE" w14:textId="77777777" w:rsidR="00A544CE" w:rsidRDefault="00A544CE" w:rsidP="004C2480">
      <w:pPr>
        <w:tabs>
          <w:tab w:val="left" w:pos="1003"/>
        </w:tabs>
        <w:spacing w:after="0"/>
        <w:rPr>
          <w:color w:val="000000" w:themeColor="text1"/>
          <w:sz w:val="24"/>
          <w:szCs w:val="24"/>
        </w:rPr>
      </w:pPr>
    </w:p>
    <w:p w14:paraId="4B36546F" w14:textId="77777777" w:rsidR="00A544CE" w:rsidRDefault="00A544CE" w:rsidP="004C2480">
      <w:pPr>
        <w:tabs>
          <w:tab w:val="left" w:pos="1003"/>
        </w:tabs>
        <w:spacing w:after="0"/>
        <w:rPr>
          <w:color w:val="000000" w:themeColor="text1"/>
          <w:sz w:val="24"/>
          <w:szCs w:val="24"/>
        </w:rPr>
      </w:pPr>
    </w:p>
    <w:p w14:paraId="2C640B58" w14:textId="77777777" w:rsidR="00A544CE" w:rsidRDefault="00A544CE" w:rsidP="004C2480">
      <w:pPr>
        <w:tabs>
          <w:tab w:val="left" w:pos="1003"/>
        </w:tabs>
        <w:spacing w:after="0"/>
        <w:rPr>
          <w:color w:val="000000" w:themeColor="text1"/>
          <w:sz w:val="24"/>
          <w:szCs w:val="24"/>
        </w:rPr>
      </w:pPr>
    </w:p>
    <w:p w14:paraId="391667BD" w14:textId="77777777" w:rsidR="00A544CE" w:rsidRDefault="00A544CE" w:rsidP="004C2480">
      <w:pPr>
        <w:tabs>
          <w:tab w:val="left" w:pos="1003"/>
        </w:tabs>
        <w:spacing w:after="0"/>
        <w:rPr>
          <w:color w:val="000000" w:themeColor="text1"/>
          <w:sz w:val="24"/>
          <w:szCs w:val="24"/>
        </w:rPr>
      </w:pPr>
    </w:p>
    <w:p w14:paraId="4ADD1F92" w14:textId="77777777" w:rsidR="00A544CE" w:rsidRDefault="00A544CE" w:rsidP="004C2480">
      <w:pPr>
        <w:tabs>
          <w:tab w:val="left" w:pos="1003"/>
        </w:tabs>
        <w:spacing w:after="0"/>
        <w:rPr>
          <w:color w:val="000000" w:themeColor="text1"/>
          <w:sz w:val="24"/>
          <w:szCs w:val="24"/>
        </w:rPr>
      </w:pPr>
    </w:p>
    <w:p w14:paraId="44D78A35" w14:textId="77777777" w:rsidR="00A544CE" w:rsidRDefault="00A544CE" w:rsidP="004C2480">
      <w:pPr>
        <w:tabs>
          <w:tab w:val="left" w:pos="1003"/>
        </w:tabs>
        <w:spacing w:after="0"/>
        <w:rPr>
          <w:color w:val="000000" w:themeColor="text1"/>
          <w:sz w:val="24"/>
          <w:szCs w:val="24"/>
        </w:rPr>
      </w:pPr>
    </w:p>
    <w:p w14:paraId="2A7353B0" w14:textId="77777777" w:rsidR="00A544CE" w:rsidRDefault="00A544CE" w:rsidP="004C2480">
      <w:pPr>
        <w:tabs>
          <w:tab w:val="left" w:pos="1003"/>
        </w:tabs>
        <w:spacing w:after="0"/>
        <w:rPr>
          <w:color w:val="000000" w:themeColor="text1"/>
          <w:sz w:val="24"/>
          <w:szCs w:val="24"/>
        </w:rPr>
      </w:pPr>
    </w:p>
    <w:p w14:paraId="2DF62386" w14:textId="77777777" w:rsidR="00A544CE" w:rsidRDefault="00A544CE" w:rsidP="004C2480">
      <w:pPr>
        <w:tabs>
          <w:tab w:val="left" w:pos="1003"/>
        </w:tabs>
        <w:spacing w:after="0"/>
        <w:rPr>
          <w:color w:val="000000" w:themeColor="text1"/>
          <w:sz w:val="24"/>
          <w:szCs w:val="24"/>
        </w:rPr>
      </w:pPr>
    </w:p>
    <w:p w14:paraId="3FE92603" w14:textId="77777777" w:rsidR="00A544CE" w:rsidRDefault="00A544CE" w:rsidP="004C2480">
      <w:pPr>
        <w:tabs>
          <w:tab w:val="left" w:pos="1003"/>
        </w:tabs>
        <w:spacing w:after="0"/>
        <w:rPr>
          <w:color w:val="000000" w:themeColor="text1"/>
          <w:sz w:val="24"/>
          <w:szCs w:val="24"/>
        </w:rPr>
      </w:pPr>
    </w:p>
    <w:p w14:paraId="1197EC11" w14:textId="77777777" w:rsidR="00A544CE" w:rsidRDefault="00A544CE" w:rsidP="004C2480">
      <w:pPr>
        <w:tabs>
          <w:tab w:val="left" w:pos="1003"/>
        </w:tabs>
        <w:spacing w:after="0"/>
        <w:rPr>
          <w:color w:val="000000" w:themeColor="text1"/>
          <w:sz w:val="24"/>
          <w:szCs w:val="24"/>
        </w:rPr>
      </w:pPr>
    </w:p>
    <w:p w14:paraId="4220753C" w14:textId="77777777" w:rsidR="00A544CE" w:rsidRDefault="00A544CE" w:rsidP="004C2480">
      <w:pPr>
        <w:tabs>
          <w:tab w:val="left" w:pos="1003"/>
        </w:tabs>
        <w:spacing w:after="0"/>
        <w:rPr>
          <w:color w:val="000000" w:themeColor="text1"/>
          <w:sz w:val="24"/>
          <w:szCs w:val="24"/>
        </w:rPr>
      </w:pPr>
    </w:p>
    <w:p w14:paraId="5C907A3F" w14:textId="77777777" w:rsidR="00A544CE" w:rsidRDefault="00A544CE" w:rsidP="004C2480">
      <w:pPr>
        <w:tabs>
          <w:tab w:val="left" w:pos="1003"/>
        </w:tabs>
        <w:spacing w:after="0"/>
        <w:rPr>
          <w:color w:val="000000" w:themeColor="text1"/>
          <w:sz w:val="24"/>
          <w:szCs w:val="24"/>
        </w:rPr>
      </w:pPr>
    </w:p>
    <w:p w14:paraId="233D2984" w14:textId="77777777" w:rsidR="00A544CE" w:rsidRDefault="00A544CE" w:rsidP="004C2480">
      <w:pPr>
        <w:tabs>
          <w:tab w:val="left" w:pos="1003"/>
        </w:tabs>
        <w:spacing w:after="0"/>
        <w:rPr>
          <w:color w:val="000000" w:themeColor="text1"/>
          <w:sz w:val="24"/>
          <w:szCs w:val="24"/>
        </w:rPr>
      </w:pPr>
    </w:p>
    <w:p w14:paraId="0862BB45" w14:textId="77777777" w:rsidR="00B07B2F" w:rsidRDefault="00B07B2F" w:rsidP="004C2480">
      <w:pPr>
        <w:tabs>
          <w:tab w:val="left" w:pos="1003"/>
        </w:tabs>
        <w:spacing w:after="0"/>
        <w:rPr>
          <w:color w:val="000000" w:themeColor="text1"/>
          <w:sz w:val="24"/>
          <w:szCs w:val="24"/>
        </w:rPr>
      </w:pPr>
    </w:p>
    <w:p w14:paraId="5D92CF87" w14:textId="77777777" w:rsidR="00B07B2F" w:rsidRDefault="00B07B2F" w:rsidP="004C2480">
      <w:pPr>
        <w:tabs>
          <w:tab w:val="left" w:pos="1003"/>
        </w:tabs>
        <w:spacing w:after="0"/>
        <w:rPr>
          <w:color w:val="000000" w:themeColor="text1"/>
          <w:sz w:val="24"/>
          <w:szCs w:val="24"/>
        </w:rPr>
      </w:pPr>
    </w:p>
    <w:p w14:paraId="2D19E591" w14:textId="77777777" w:rsidR="00B07B2F" w:rsidRDefault="00B07B2F" w:rsidP="004C2480">
      <w:pPr>
        <w:tabs>
          <w:tab w:val="left" w:pos="1003"/>
        </w:tabs>
        <w:spacing w:after="0"/>
        <w:rPr>
          <w:color w:val="000000" w:themeColor="text1"/>
          <w:sz w:val="24"/>
          <w:szCs w:val="24"/>
        </w:rPr>
      </w:pPr>
    </w:p>
    <w:p w14:paraId="3192EC57" w14:textId="77777777" w:rsidR="00A544CE" w:rsidRDefault="00A544CE" w:rsidP="004C2480">
      <w:pPr>
        <w:tabs>
          <w:tab w:val="left" w:pos="1003"/>
        </w:tabs>
        <w:spacing w:after="0"/>
        <w:rPr>
          <w:color w:val="000000" w:themeColor="text1"/>
          <w:sz w:val="24"/>
          <w:szCs w:val="24"/>
        </w:rPr>
      </w:pPr>
    </w:p>
    <w:p w14:paraId="43502FC7" w14:textId="77777777" w:rsidR="00A544CE" w:rsidRDefault="00A544CE" w:rsidP="004C2480">
      <w:pPr>
        <w:tabs>
          <w:tab w:val="left" w:pos="1003"/>
        </w:tabs>
        <w:spacing w:after="0"/>
        <w:rPr>
          <w:color w:val="000000" w:themeColor="text1"/>
          <w:sz w:val="24"/>
          <w:szCs w:val="24"/>
        </w:rPr>
      </w:pPr>
    </w:p>
    <w:p w14:paraId="6B245FA5" w14:textId="77777777" w:rsidR="00A544CE" w:rsidRDefault="00A544CE" w:rsidP="004C2480">
      <w:pPr>
        <w:tabs>
          <w:tab w:val="left" w:pos="1003"/>
        </w:tabs>
        <w:spacing w:after="0"/>
        <w:rPr>
          <w:color w:val="000000" w:themeColor="text1"/>
          <w:sz w:val="24"/>
          <w:szCs w:val="24"/>
        </w:rPr>
      </w:pPr>
    </w:p>
    <w:p w14:paraId="68FB29E1" w14:textId="77777777" w:rsidR="00A544CE" w:rsidRDefault="00A544CE" w:rsidP="004C2480">
      <w:pPr>
        <w:tabs>
          <w:tab w:val="left" w:pos="1003"/>
        </w:tabs>
        <w:spacing w:after="0"/>
        <w:rPr>
          <w:color w:val="000000" w:themeColor="text1"/>
          <w:sz w:val="24"/>
          <w:szCs w:val="24"/>
        </w:rPr>
      </w:pPr>
    </w:p>
    <w:p w14:paraId="0BC0A529" w14:textId="77777777" w:rsidR="00A544CE" w:rsidRPr="007D79EA" w:rsidRDefault="00A544CE" w:rsidP="00A544CE">
      <w:pPr>
        <w:pStyle w:val="NormalWeb"/>
        <w:numPr>
          <w:ilvl w:val="0"/>
          <w:numId w:val="3"/>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lastRenderedPageBreak/>
        <w:t xml:space="preserve">Background </w:t>
      </w:r>
    </w:p>
    <w:p w14:paraId="788CC1A6" w14:textId="495CA3F6" w:rsidR="00A544CE" w:rsidRDefault="00B07B2F" w:rsidP="00A544CE">
      <w:pPr>
        <w:pStyle w:val="NormalWeb"/>
        <w:numPr>
          <w:ilvl w:val="1"/>
          <w:numId w:val="4"/>
        </w:numPr>
        <w:shd w:val="clear" w:color="auto" w:fill="FFFFFF"/>
        <w:spacing w:before="0" w:beforeAutospacing="0" w:after="150" w:afterAutospacing="0" w:line="336" w:lineRule="atLeast"/>
        <w:rPr>
          <w:rFonts w:asciiTheme="majorHAnsi" w:hAnsiTheme="majorHAnsi" w:cs="Helvetica"/>
          <w:color w:val="231F20"/>
          <w:sz w:val="22"/>
          <w:szCs w:val="22"/>
        </w:rPr>
      </w:pPr>
      <w:r w:rsidRPr="00B07B2F">
        <w:rPr>
          <w:rFonts w:asciiTheme="majorHAnsi" w:hAnsiTheme="majorHAnsi" w:cs="Helvetica"/>
          <w:color w:val="231F20"/>
          <w:sz w:val="22"/>
          <w:szCs w:val="22"/>
        </w:rPr>
        <w:t>Wythenshawe Community Housing Group (WCHG) is a not-for-profit provider of social housing and is registered with the Regulator of Social Housing (RSH) as a social landlord. WCHG is a charitable community benefit society registered under the Co-operative and Community Benefit Societies act 2014. The Group’s principal activities are the development and management of affordable housing. The purpose of WCHG is ‘To provide good quality homes and services to our tenants and leaseholders and to play a leading role in creating safer, healthier communities’. WCHG manages more than 14,000 properties, providing homes to more than 20,000 people in Wythenshawe, South Manchester and provides local employment to circa 500 colleagues. WCHG plays a leading role in working in Partnership with Manchester City council, statutory partners, the 3rd sector and voluntary groups with the aim of delivering our purpose to the tenants and communities in which we have homes, seek to build new homes and deliver services. WCHG is playing a leading role in the regeneration of Wythenshawe by working in partnership with MCC and Muse to provide affordable housing to address the housing shortage in Wythenshawe and Manchester.</w:t>
      </w:r>
    </w:p>
    <w:p w14:paraId="4AEE0081" w14:textId="1062B3CA" w:rsidR="00A544CE" w:rsidRDefault="00EF42C1" w:rsidP="00A544CE">
      <w:pPr>
        <w:pStyle w:val="NormalWeb"/>
        <w:numPr>
          <w:ilvl w:val="1"/>
          <w:numId w:val="4"/>
        </w:numPr>
        <w:shd w:val="clear" w:color="auto" w:fill="FFFFFF"/>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A</w:t>
      </w:r>
      <w:r w:rsidR="00A544CE" w:rsidRPr="00B44C4D">
        <w:rPr>
          <w:rFonts w:asciiTheme="majorHAnsi" w:hAnsiTheme="majorHAnsi" w:cs="Helvetica"/>
          <w:color w:val="231F20"/>
          <w:sz w:val="22"/>
          <w:szCs w:val="22"/>
        </w:rPr>
        <w:t xml:space="preserve">warded the prestigious ‘Investors in People’ Platinum Status, we are now amongst an elite group of world class organisations recognised for demonstrating a commitment to high performance through excellent people management and to be the very first Housing Association in the </w:t>
      </w:r>
      <w:proofErr w:type="gramStart"/>
      <w:r w:rsidR="00A544CE" w:rsidRPr="00B44C4D">
        <w:rPr>
          <w:rFonts w:asciiTheme="majorHAnsi" w:hAnsiTheme="majorHAnsi" w:cs="Helvetica"/>
          <w:color w:val="231F20"/>
          <w:sz w:val="22"/>
          <w:szCs w:val="22"/>
        </w:rPr>
        <w:t>North West</w:t>
      </w:r>
      <w:proofErr w:type="gramEnd"/>
      <w:r w:rsidR="00A544CE" w:rsidRPr="00B44C4D">
        <w:rPr>
          <w:rFonts w:asciiTheme="majorHAnsi" w:hAnsiTheme="majorHAnsi" w:cs="Helvetica"/>
          <w:color w:val="231F20"/>
          <w:sz w:val="22"/>
          <w:szCs w:val="22"/>
        </w:rPr>
        <w:t xml:space="preserve"> of England to achieve this prestigious accreditation.</w:t>
      </w:r>
    </w:p>
    <w:p w14:paraId="279630CD" w14:textId="77777777" w:rsidR="00A544CE" w:rsidRDefault="00A544CE" w:rsidP="00A544CE">
      <w:pPr>
        <w:pStyle w:val="NormalWeb"/>
        <w:numPr>
          <w:ilvl w:val="1"/>
          <w:numId w:val="4"/>
        </w:numPr>
        <w:shd w:val="clear" w:color="auto" w:fill="FFFFFF"/>
        <w:spacing w:before="0" w:beforeAutospacing="0" w:after="150" w:afterAutospacing="0" w:line="336" w:lineRule="atLeast"/>
        <w:rPr>
          <w:rFonts w:asciiTheme="majorHAnsi" w:hAnsiTheme="majorHAnsi" w:cs="Helvetica"/>
          <w:color w:val="231F20"/>
          <w:sz w:val="22"/>
          <w:szCs w:val="22"/>
        </w:rPr>
      </w:pPr>
      <w:r w:rsidRPr="004628B9">
        <w:rPr>
          <w:rFonts w:asciiTheme="majorHAnsi" w:hAnsiTheme="majorHAnsi" w:cs="Helvetica"/>
          <w:color w:val="231F20"/>
          <w:sz w:val="22"/>
          <w:szCs w:val="22"/>
        </w:rPr>
        <w:t xml:space="preserve">Wythenshawe Community Housing Group’s vision is to create a community where people choose to live and work, having pride in their homes and services. WCHG boasts </w:t>
      </w:r>
      <w:proofErr w:type="gramStart"/>
      <w:r w:rsidRPr="004628B9">
        <w:rPr>
          <w:rFonts w:asciiTheme="majorHAnsi" w:hAnsiTheme="majorHAnsi" w:cs="Helvetica"/>
          <w:color w:val="231F20"/>
          <w:sz w:val="22"/>
          <w:szCs w:val="22"/>
        </w:rPr>
        <w:t>an</w:t>
      </w:r>
      <w:proofErr w:type="gramEnd"/>
      <w:r w:rsidRPr="004628B9">
        <w:rPr>
          <w:rFonts w:asciiTheme="majorHAnsi" w:hAnsiTheme="majorHAnsi" w:cs="Helvetica"/>
          <w:color w:val="231F20"/>
          <w:sz w:val="22"/>
          <w:szCs w:val="22"/>
        </w:rPr>
        <w:t xml:space="preserve"> impressive £100m development portfolio which will create 836 new homes leaving </w:t>
      </w:r>
      <w:proofErr w:type="gramStart"/>
      <w:r w:rsidRPr="004628B9">
        <w:rPr>
          <w:rFonts w:asciiTheme="majorHAnsi" w:hAnsiTheme="majorHAnsi" w:cs="Helvetica"/>
          <w:color w:val="231F20"/>
          <w:sz w:val="22"/>
          <w:szCs w:val="22"/>
        </w:rPr>
        <w:t>a lasting legacy</w:t>
      </w:r>
      <w:proofErr w:type="gramEnd"/>
      <w:r w:rsidRPr="004628B9">
        <w:rPr>
          <w:rFonts w:asciiTheme="majorHAnsi" w:hAnsiTheme="majorHAnsi" w:cs="Helvetica"/>
          <w:color w:val="231F20"/>
          <w:sz w:val="22"/>
          <w:szCs w:val="22"/>
        </w:rPr>
        <w:t xml:space="preserve"> for the Wythenshawe Community.</w:t>
      </w:r>
    </w:p>
    <w:p w14:paraId="6A5E7386"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6912579A"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428DF015"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6CE54F31"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31C543C9"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0C34F0A5"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0BD04DDB" w14:textId="77777777" w:rsidR="00B07B2F" w:rsidRPr="007D79EA"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47DAFD71" w14:textId="77777777" w:rsidR="00A544CE" w:rsidRPr="007D79EA" w:rsidRDefault="00A544CE" w:rsidP="00A544CE">
      <w:pPr>
        <w:pStyle w:val="NormalWeb"/>
        <w:numPr>
          <w:ilvl w:val="0"/>
          <w:numId w:val="3"/>
        </w:numPr>
        <w:shd w:val="clear" w:color="auto" w:fill="FFFFFF"/>
        <w:spacing w:before="24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Introduction</w:t>
      </w:r>
    </w:p>
    <w:p w14:paraId="3739B124" w14:textId="77777777"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2.1</w:t>
      </w:r>
      <w:r>
        <w:rPr>
          <w:rFonts w:asciiTheme="majorHAnsi" w:hAnsiTheme="majorHAnsi" w:cs="Helvetica"/>
          <w:color w:val="231F20"/>
          <w:sz w:val="22"/>
          <w:szCs w:val="22"/>
        </w:rPr>
        <w:tab/>
        <w:t>This Affordable Housing Statement has been prepared in support of the planning application, which seeks to redevelop the application site to provide new homes to our customers.</w:t>
      </w:r>
    </w:p>
    <w:p w14:paraId="3B4D8ACB" w14:textId="6DE934F8"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2.2</w:t>
      </w:r>
      <w:r>
        <w:rPr>
          <w:rFonts w:asciiTheme="majorHAnsi" w:hAnsiTheme="majorHAnsi" w:cs="Helvetica"/>
          <w:color w:val="231F20"/>
          <w:sz w:val="22"/>
          <w:szCs w:val="22"/>
        </w:rPr>
        <w:tab/>
      </w:r>
      <w:r w:rsidR="0027512B">
        <w:rPr>
          <w:rFonts w:asciiTheme="majorHAnsi" w:hAnsiTheme="majorHAnsi" w:cs="Helvetica"/>
          <w:color w:val="231F20"/>
          <w:sz w:val="22"/>
          <w:szCs w:val="22"/>
        </w:rPr>
        <w:t>This document</w:t>
      </w:r>
      <w:r>
        <w:rPr>
          <w:rFonts w:asciiTheme="majorHAnsi" w:hAnsiTheme="majorHAnsi" w:cs="Helvetica"/>
          <w:color w:val="231F20"/>
          <w:sz w:val="22"/>
          <w:szCs w:val="22"/>
        </w:rPr>
        <w:t xml:space="preserve"> should be read in conjunction with the supporting documents that accompany the planning submission. </w:t>
      </w:r>
    </w:p>
    <w:p w14:paraId="53676547" w14:textId="28D47A81" w:rsidR="00790DC1" w:rsidRDefault="00EA4625" w:rsidP="00790DC1">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2.3 </w:t>
      </w:r>
      <w:r w:rsidR="008817CA" w:rsidRPr="008817CA">
        <w:rPr>
          <w:rFonts w:asciiTheme="majorHAnsi" w:hAnsiTheme="majorHAnsi" w:cs="Helvetica"/>
          <w:color w:val="231F20"/>
          <w:sz w:val="22"/>
          <w:szCs w:val="22"/>
        </w:rPr>
        <w:t>The proposed development seeks planning permission for 81 residential apartments, all of which are proposed to be affordable homes for Social Rent.</w:t>
      </w:r>
    </w:p>
    <w:p w14:paraId="59171620" w14:textId="7314F7D1" w:rsidR="00B07B2F" w:rsidRDefault="00790DC1"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2.4 </w:t>
      </w:r>
      <w:r w:rsidR="009003C3" w:rsidRPr="009003C3">
        <w:rPr>
          <w:rFonts w:asciiTheme="majorHAnsi" w:hAnsiTheme="majorHAnsi" w:cs="Helvetica"/>
          <w:color w:val="231F20"/>
          <w:sz w:val="22"/>
          <w:szCs w:val="22"/>
        </w:rPr>
        <w:t>The purpose of this statement is to demonstrate how the proposed development contributes towards meeting local affordable housing needs and complies with national and local planning policy requirements.</w:t>
      </w:r>
    </w:p>
    <w:p w14:paraId="79078B04"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318229A"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BD14068"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C98C54F"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07212B59"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7E8C9EAA"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1910800"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6751E5D6" w14:textId="77777777" w:rsidR="00075605" w:rsidRDefault="00075605"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9D62236" w14:textId="77777777" w:rsidR="00075605" w:rsidRDefault="00075605"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89B7D21" w14:textId="77777777" w:rsidR="00075605" w:rsidRDefault="00075605"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88B182E"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D924F58"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8D269FC" w14:textId="77777777" w:rsidR="00A544CE" w:rsidRPr="007D79EA" w:rsidRDefault="00A544CE" w:rsidP="00A544CE">
      <w:pPr>
        <w:pStyle w:val="NormalWeb"/>
        <w:numPr>
          <w:ilvl w:val="0"/>
          <w:numId w:val="3"/>
        </w:numPr>
        <w:shd w:val="clear" w:color="auto" w:fill="FFFFFF"/>
        <w:spacing w:before="24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lastRenderedPageBreak/>
        <w:t xml:space="preserve">Planning policy context </w:t>
      </w:r>
    </w:p>
    <w:p w14:paraId="7776CFBE" w14:textId="6524FF2E"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3.1</w:t>
      </w:r>
      <w:r>
        <w:rPr>
          <w:rFonts w:asciiTheme="majorHAnsi" w:hAnsiTheme="majorHAnsi" w:cs="Helvetica"/>
          <w:color w:val="231F20"/>
          <w:sz w:val="22"/>
          <w:szCs w:val="22"/>
        </w:rPr>
        <w:tab/>
        <w:t xml:space="preserve"> </w:t>
      </w:r>
      <w:r w:rsidRPr="00A544CE">
        <w:rPr>
          <w:rFonts w:asciiTheme="majorHAnsi" w:hAnsiTheme="majorHAnsi" w:cs="Helvetica"/>
          <w:color w:val="231F20"/>
          <w:sz w:val="22"/>
          <w:szCs w:val="22"/>
        </w:rPr>
        <w:t xml:space="preserve">The Development Plan for Manchester guides development within the </w:t>
      </w:r>
      <w:r w:rsidR="00350162" w:rsidRPr="00A544CE">
        <w:rPr>
          <w:rFonts w:asciiTheme="majorHAnsi" w:hAnsiTheme="majorHAnsi" w:cs="Helvetica"/>
          <w:color w:val="231F20"/>
          <w:sz w:val="22"/>
          <w:szCs w:val="22"/>
        </w:rPr>
        <w:t>city</w:t>
      </w:r>
      <w:r w:rsidRPr="00A544CE">
        <w:rPr>
          <w:rFonts w:asciiTheme="majorHAnsi" w:hAnsiTheme="majorHAnsi" w:cs="Helvetica"/>
          <w:color w:val="231F20"/>
          <w:sz w:val="22"/>
          <w:szCs w:val="22"/>
        </w:rPr>
        <w:t xml:space="preserve"> and sets out the vision and spatial strategy for the future development of Manchester. Within this context the adopted Development Plan for Manchester comprises:</w:t>
      </w:r>
    </w:p>
    <w:p w14:paraId="240CA2F0" w14:textId="77777777"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Manchester Core Strategy (2012): The Core Strategy was adopted on 12th July 2012. It sets the overall strategic direction for planning in Manchester over the plan period from 2012 to 2027. The policies of the Core Strategy establish where major development and other forms of investment should be located to benefit from sustainable connections, meet local needs and take full advantage of opportunities. Whilst somewhat dated, </w:t>
      </w:r>
      <w:proofErr w:type="gramStart"/>
      <w:r w:rsidRPr="00A544CE">
        <w:rPr>
          <w:rFonts w:asciiTheme="majorHAnsi" w:hAnsiTheme="majorHAnsi" w:cs="Helvetica"/>
          <w:color w:val="231F20"/>
          <w:sz w:val="22"/>
          <w:szCs w:val="22"/>
        </w:rPr>
        <w:t>a number of</w:t>
      </w:r>
      <w:proofErr w:type="gramEnd"/>
      <w:r w:rsidRPr="00A544CE">
        <w:rPr>
          <w:rFonts w:asciiTheme="majorHAnsi" w:hAnsiTheme="majorHAnsi" w:cs="Helvetica"/>
          <w:color w:val="231F20"/>
          <w:sz w:val="22"/>
          <w:szCs w:val="22"/>
        </w:rPr>
        <w:t xml:space="preserve"> Core Strategy policies remain part of the development plan.</w:t>
      </w:r>
    </w:p>
    <w:p w14:paraId="2B38B307" w14:textId="13D38EDB"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Places For Everyone (2022-2039) is the long-term plan of nine Greater Manchester districts (Bolton, Bury, Manchester, Oldham, Rochdale, Salford, Tameside, Trafford, and Wigan) for jobs, new homes, and sustainable growth. It has been published by the Greater Manchester Combined Authority on behalf of the nine districts. The plan sets out an ambition for the delivery of 50,000 additional affordable homes over the plan period. The contribution of brownfield land in delivering development is to be maximised, including facilitating higher density development in the most accessible locations.</w:t>
      </w:r>
    </w:p>
    <w:p w14:paraId="3938DC26" w14:textId="59C81833"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3.2</w:t>
      </w:r>
      <w:r>
        <w:rPr>
          <w:rFonts w:asciiTheme="majorHAnsi" w:hAnsiTheme="majorHAnsi" w:cs="Helvetica"/>
          <w:color w:val="231F20"/>
          <w:sz w:val="22"/>
          <w:szCs w:val="22"/>
        </w:rPr>
        <w:tab/>
      </w:r>
      <w:r w:rsidRPr="00A544CE">
        <w:rPr>
          <w:rFonts w:asciiTheme="majorHAnsi" w:hAnsiTheme="majorHAnsi" w:cs="Helvetica"/>
          <w:color w:val="231F20"/>
          <w:sz w:val="22"/>
          <w:szCs w:val="22"/>
        </w:rPr>
        <w:t>Core Strategy Policy H8 sets out the requirement for affordable housing in Manchester, which is applicable for all residential developments on sites of 0.3ha and above or where 15 or more units are proposed. The policy states that new development will contribute to the City-wide target for 20% of new housing provision to be affordable and this should be used as a starting point for calculating affordable housing provision. The last sentence of bullet 1 in Policy H 8 states that “It is envisaged that 5% of new housing provision will be social or affordable rented and 15% will be intermediate housing, delivering affordable homeownership options.”</w:t>
      </w:r>
    </w:p>
    <w:p w14:paraId="3270C325" w14:textId="77777777"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3.3 </w:t>
      </w:r>
      <w:r w:rsidRPr="00A544CE">
        <w:rPr>
          <w:rFonts w:asciiTheme="majorHAnsi" w:hAnsiTheme="majorHAnsi" w:cs="Helvetica"/>
          <w:color w:val="231F20"/>
          <w:sz w:val="22"/>
          <w:szCs w:val="22"/>
        </w:rPr>
        <w:t>Following the adoption of the Places for Everyone (</w:t>
      </w:r>
      <w:proofErr w:type="spellStart"/>
      <w:r w:rsidRPr="00A544CE">
        <w:rPr>
          <w:rFonts w:asciiTheme="majorHAnsi" w:hAnsiTheme="majorHAnsi" w:cs="Helvetica"/>
          <w:color w:val="231F20"/>
          <w:sz w:val="22"/>
          <w:szCs w:val="22"/>
        </w:rPr>
        <w:t>PfE</w:t>
      </w:r>
      <w:proofErr w:type="spellEnd"/>
      <w:r w:rsidRPr="00A544CE">
        <w:rPr>
          <w:rFonts w:asciiTheme="majorHAnsi" w:hAnsiTheme="majorHAnsi" w:cs="Helvetica"/>
          <w:color w:val="231F20"/>
          <w:sz w:val="22"/>
          <w:szCs w:val="22"/>
        </w:rPr>
        <w:t xml:space="preserve">) Joint Development Plan, MCC published an addendum to the Core Strategy in 2024, which states that the last sentence of bullet 1 is replaced by the following </w:t>
      </w:r>
      <w:proofErr w:type="spellStart"/>
      <w:r w:rsidRPr="00A544CE">
        <w:rPr>
          <w:rFonts w:asciiTheme="majorHAnsi" w:hAnsiTheme="majorHAnsi" w:cs="Helvetica"/>
          <w:color w:val="231F20"/>
          <w:sz w:val="22"/>
          <w:szCs w:val="22"/>
        </w:rPr>
        <w:t>PfE</w:t>
      </w:r>
      <w:proofErr w:type="spellEnd"/>
      <w:r w:rsidRPr="00A544CE">
        <w:rPr>
          <w:rFonts w:asciiTheme="majorHAnsi" w:hAnsiTheme="majorHAnsi" w:cs="Helvetica"/>
          <w:color w:val="231F20"/>
          <w:sz w:val="22"/>
          <w:szCs w:val="22"/>
        </w:rPr>
        <w:t xml:space="preserve"> Policy JP-H2 ‘Affordability of New Housing’:</w:t>
      </w:r>
    </w:p>
    <w:p w14:paraId="2AFB42CD" w14:textId="77777777" w:rsidR="00A544CE" w:rsidRPr="00A544CE" w:rsidRDefault="00A544CE" w:rsidP="00A544CE">
      <w:pPr>
        <w:pStyle w:val="NormalWeb"/>
        <w:shd w:val="clear" w:color="auto" w:fill="FFFFFF"/>
        <w:spacing w:after="150" w:line="336" w:lineRule="atLeast"/>
        <w:ind w:left="720"/>
        <w:rPr>
          <w:rFonts w:asciiTheme="majorHAnsi" w:hAnsiTheme="majorHAnsi" w:cs="Helvetica"/>
          <w:color w:val="231F20"/>
          <w:sz w:val="22"/>
          <w:szCs w:val="22"/>
        </w:rPr>
      </w:pPr>
      <w:r w:rsidRPr="00A544CE">
        <w:rPr>
          <w:rFonts w:asciiTheme="majorHAnsi" w:hAnsiTheme="majorHAnsi" w:cs="Helvetica"/>
          <w:color w:val="231F20"/>
          <w:sz w:val="22"/>
          <w:szCs w:val="22"/>
        </w:rPr>
        <w:lastRenderedPageBreak/>
        <w:t>Substantial improvements will be sought in the ability of people to access housing at a price they can afford, including through:</w:t>
      </w:r>
    </w:p>
    <w:p w14:paraId="043E7C95" w14:textId="731222C1"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Significantly increasing the supply of new housing, in accordance with Policy JPH1 'Scale, Distribution and Phasing of New Housing Development', thereby reducing the potential for a shortfall to lead to large house price and rent increases.</w:t>
      </w:r>
    </w:p>
    <w:p w14:paraId="6C3E05E4" w14:textId="19CC2B92"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Maximising the delivery of additional affordable homes, including through local plans setting targets for the provision of affordable housing for sale and rent as part of market-led developments based on evidence relating to need and viability.</w:t>
      </w:r>
    </w:p>
    <w:p w14:paraId="2274EAA6" w14:textId="48B0316B"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Supporting provision of affordable housing as part of new developments (avoiding where possible clusters of tenure to deliver mixed communities).</w:t>
      </w:r>
    </w:p>
    <w:p w14:paraId="7A5AAEA7" w14:textId="2A64A43F"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Working with Government to maximise the amount of public funding being directed towards the provision of new affordable housing.</w:t>
      </w:r>
    </w:p>
    <w:p w14:paraId="1B3ECF65" w14:textId="0A209CCF"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 xml:space="preserve">Increasing the supply of low-cost market housing, to complement the provision of affordable homes and diversify options for </w:t>
      </w:r>
      <w:r w:rsidR="005D0C9B" w:rsidRPr="00A544CE">
        <w:rPr>
          <w:rFonts w:asciiTheme="majorHAnsi" w:hAnsiTheme="majorHAnsi" w:cs="Helvetica"/>
          <w:color w:val="231F20"/>
          <w:sz w:val="22"/>
          <w:szCs w:val="22"/>
        </w:rPr>
        <w:t>low-income</w:t>
      </w:r>
      <w:r w:rsidRPr="00A544CE">
        <w:rPr>
          <w:rFonts w:asciiTheme="majorHAnsi" w:hAnsiTheme="majorHAnsi" w:cs="Helvetica"/>
          <w:color w:val="231F20"/>
          <w:sz w:val="22"/>
          <w:szCs w:val="22"/>
        </w:rPr>
        <w:t xml:space="preserve"> households.</w:t>
      </w:r>
    </w:p>
    <w:p w14:paraId="35D0EB22" w14:textId="7F478F28"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3.4 </w:t>
      </w:r>
      <w:r w:rsidRPr="00A544CE">
        <w:rPr>
          <w:rFonts w:asciiTheme="majorHAnsi" w:hAnsiTheme="majorHAnsi" w:cs="Helvetica"/>
          <w:color w:val="231F20"/>
          <w:sz w:val="22"/>
          <w:szCs w:val="22"/>
        </w:rPr>
        <w:t>The Manchester Housing Strategy (2022-2032) sets out the strategy to meet the increasing demand for social and affordable housing. The Strategy sets a target of delivering 10,000 affordable homes between 2022 and 2032 (an average of 1,000 homes each year over the lifetime of the Strategy).</w:t>
      </w:r>
    </w:p>
    <w:p w14:paraId="628FB698" w14:textId="557863EE" w:rsidR="005D0C9B" w:rsidRDefault="005D0C9B"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3.5 </w:t>
      </w:r>
      <w:r w:rsidRPr="005D0C9B">
        <w:rPr>
          <w:rFonts w:asciiTheme="majorHAnsi" w:hAnsiTheme="majorHAnsi" w:cs="Helvetica"/>
          <w:color w:val="231F20"/>
          <w:sz w:val="22"/>
          <w:szCs w:val="22"/>
        </w:rPr>
        <w:t>The proposed development directly supports these objectives through the delivery of 8</w:t>
      </w:r>
      <w:r>
        <w:rPr>
          <w:rFonts w:asciiTheme="majorHAnsi" w:hAnsiTheme="majorHAnsi" w:cs="Helvetica"/>
          <w:color w:val="231F20"/>
          <w:sz w:val="22"/>
          <w:szCs w:val="22"/>
        </w:rPr>
        <w:t>4</w:t>
      </w:r>
      <w:r w:rsidRPr="005D0C9B">
        <w:rPr>
          <w:rFonts w:asciiTheme="majorHAnsi" w:hAnsiTheme="majorHAnsi" w:cs="Helvetica"/>
          <w:color w:val="231F20"/>
          <w:sz w:val="22"/>
          <w:szCs w:val="22"/>
        </w:rPr>
        <w:t xml:space="preserve"> new affordable homes at Social Rent levels within a highly sustainable and accessible location.</w:t>
      </w:r>
    </w:p>
    <w:p w14:paraId="0871C5CF"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37865165"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B4FE217"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7F979E3"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334062F2"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ADCF149"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0DBCC622"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77F6B6FE"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028767B" w14:textId="77777777" w:rsidR="00A544CE" w:rsidRPr="007D79EA" w:rsidRDefault="00A544CE" w:rsidP="00A544CE">
      <w:pPr>
        <w:pStyle w:val="NormalWeb"/>
        <w:numPr>
          <w:ilvl w:val="0"/>
          <w:numId w:val="3"/>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Proposed affordable housing provision</w:t>
      </w:r>
    </w:p>
    <w:p w14:paraId="4D0A7584" w14:textId="77777777" w:rsidR="00A70422" w:rsidRPr="00A70422" w:rsidRDefault="00A544CE" w:rsidP="00A70422">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4.1</w:t>
      </w:r>
      <w:r>
        <w:rPr>
          <w:rFonts w:asciiTheme="majorHAnsi" w:hAnsiTheme="majorHAnsi" w:cs="Helvetica"/>
          <w:color w:val="231F20"/>
          <w:sz w:val="22"/>
          <w:szCs w:val="22"/>
        </w:rPr>
        <w:tab/>
      </w:r>
      <w:r w:rsidR="00A70422" w:rsidRPr="00A70422">
        <w:rPr>
          <w:rFonts w:asciiTheme="majorHAnsi" w:hAnsiTheme="majorHAnsi" w:cs="Helvetica"/>
          <w:color w:val="231F20"/>
          <w:sz w:val="22"/>
          <w:szCs w:val="22"/>
        </w:rPr>
        <w:t>The proposed scheme significantly exceeds the minimum requirement for affordable housing and will deliver 100% affordable housing across the entire development.</w:t>
      </w:r>
    </w:p>
    <w:p w14:paraId="6B561F41" w14:textId="09EC464D" w:rsidR="00A544CE" w:rsidRDefault="00A70422" w:rsidP="00A70422">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r w:rsidRPr="00A70422">
        <w:rPr>
          <w:rFonts w:asciiTheme="majorHAnsi" w:hAnsiTheme="majorHAnsi" w:cs="Helvetica"/>
          <w:color w:val="231F20"/>
          <w:sz w:val="22"/>
          <w:szCs w:val="22"/>
        </w:rPr>
        <w:t xml:space="preserve">All </w:t>
      </w:r>
      <w:r w:rsidR="00E3284B">
        <w:rPr>
          <w:rFonts w:asciiTheme="majorHAnsi" w:hAnsiTheme="majorHAnsi" w:cs="Helvetica"/>
          <w:color w:val="231F20"/>
          <w:sz w:val="22"/>
          <w:szCs w:val="22"/>
        </w:rPr>
        <w:t>84</w:t>
      </w:r>
      <w:r w:rsidRPr="00A70422">
        <w:rPr>
          <w:rFonts w:asciiTheme="majorHAnsi" w:hAnsiTheme="majorHAnsi" w:cs="Helvetica"/>
          <w:color w:val="231F20"/>
          <w:sz w:val="22"/>
          <w:szCs w:val="22"/>
        </w:rPr>
        <w:t xml:space="preserve"> homes will be provided for social rent and will be owned and managed by Wythenshawe Community Housing Group.</w:t>
      </w:r>
    </w:p>
    <w:p w14:paraId="61F9E0E5" w14:textId="04414D11"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4.2 Currently the Heads of Terms are being finalised with MCC, and the final tenure of the scheme is under final approval.  Preferred Option is all </w:t>
      </w:r>
      <w:r w:rsidR="00E3284B">
        <w:rPr>
          <w:rFonts w:asciiTheme="majorHAnsi" w:hAnsiTheme="majorHAnsi" w:cs="Helvetica"/>
          <w:color w:val="231F20"/>
          <w:sz w:val="22"/>
          <w:szCs w:val="22"/>
        </w:rPr>
        <w:t>84</w:t>
      </w:r>
      <w:r>
        <w:rPr>
          <w:rFonts w:asciiTheme="majorHAnsi" w:hAnsiTheme="majorHAnsi" w:cs="Helvetica"/>
          <w:color w:val="231F20"/>
          <w:sz w:val="22"/>
          <w:szCs w:val="22"/>
        </w:rPr>
        <w:t xml:space="preserve"> properties to be social </w:t>
      </w:r>
      <w:r w:rsidR="00350162">
        <w:rPr>
          <w:rFonts w:asciiTheme="majorHAnsi" w:hAnsiTheme="majorHAnsi" w:cs="Helvetica"/>
          <w:color w:val="231F20"/>
          <w:sz w:val="22"/>
          <w:szCs w:val="22"/>
        </w:rPr>
        <w:t>rent</w:t>
      </w:r>
      <w:r w:rsidR="00151BC7">
        <w:rPr>
          <w:rFonts w:asciiTheme="majorHAnsi" w:hAnsiTheme="majorHAnsi" w:cs="Helvetica"/>
          <w:color w:val="231F20"/>
          <w:sz w:val="22"/>
          <w:szCs w:val="22"/>
        </w:rPr>
        <w:t>.</w:t>
      </w:r>
      <w:r>
        <w:rPr>
          <w:rFonts w:asciiTheme="majorHAnsi" w:hAnsiTheme="majorHAnsi" w:cs="Helvetica"/>
          <w:color w:val="231F20"/>
          <w:sz w:val="22"/>
          <w:szCs w:val="22"/>
        </w:rPr>
        <w:t xml:space="preserve"> </w:t>
      </w:r>
    </w:p>
    <w:p w14:paraId="057F286C" w14:textId="77777777"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4.2</w:t>
      </w:r>
      <w:r>
        <w:rPr>
          <w:rFonts w:asciiTheme="majorHAnsi" w:hAnsiTheme="majorHAnsi" w:cs="Helvetica"/>
          <w:color w:val="231F20"/>
          <w:sz w:val="22"/>
          <w:szCs w:val="22"/>
        </w:rPr>
        <w:tab/>
        <w:t>The proposed mix is illustrated in the table below:</w:t>
      </w:r>
    </w:p>
    <w:tbl>
      <w:tblPr>
        <w:tblStyle w:val="TableGrid"/>
        <w:tblW w:w="0" w:type="auto"/>
        <w:tblInd w:w="817" w:type="dxa"/>
        <w:tblLook w:val="04A0" w:firstRow="1" w:lastRow="0" w:firstColumn="1" w:lastColumn="0" w:noHBand="0" w:noVBand="1"/>
      </w:tblPr>
      <w:tblGrid>
        <w:gridCol w:w="2428"/>
        <w:gridCol w:w="2121"/>
        <w:gridCol w:w="3002"/>
      </w:tblGrid>
      <w:tr w:rsidR="00A544CE" w14:paraId="4E602D81" w14:textId="77777777" w:rsidTr="00A8409C">
        <w:tc>
          <w:tcPr>
            <w:tcW w:w="2428" w:type="dxa"/>
            <w:shd w:val="clear" w:color="auto" w:fill="A6A6A6" w:themeFill="background1" w:themeFillShade="A6"/>
          </w:tcPr>
          <w:p w14:paraId="7A3E7B31"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 xml:space="preserve">Tenure </w:t>
            </w:r>
          </w:p>
        </w:tc>
        <w:tc>
          <w:tcPr>
            <w:tcW w:w="2121" w:type="dxa"/>
            <w:shd w:val="clear" w:color="auto" w:fill="A6A6A6" w:themeFill="background1" w:themeFillShade="A6"/>
          </w:tcPr>
          <w:p w14:paraId="4A08FD56"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Number of dwellings</w:t>
            </w:r>
          </w:p>
        </w:tc>
        <w:tc>
          <w:tcPr>
            <w:tcW w:w="3002" w:type="dxa"/>
            <w:shd w:val="clear" w:color="auto" w:fill="A6A6A6" w:themeFill="background1" w:themeFillShade="A6"/>
          </w:tcPr>
          <w:p w14:paraId="55EBB3DE"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Percentage of development (%)</w:t>
            </w:r>
          </w:p>
        </w:tc>
      </w:tr>
      <w:tr w:rsidR="00A544CE" w14:paraId="3742393B" w14:textId="77777777" w:rsidTr="00A8409C">
        <w:tc>
          <w:tcPr>
            <w:tcW w:w="2428" w:type="dxa"/>
          </w:tcPr>
          <w:p w14:paraId="5ABE903E" w14:textId="646AF888" w:rsidR="00A544CE" w:rsidRDefault="00820B94"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1B/2P apartments</w:t>
            </w:r>
            <w:r w:rsidR="00F000C9">
              <w:rPr>
                <w:rFonts w:asciiTheme="majorHAnsi" w:hAnsiTheme="majorHAnsi" w:cs="Helvetica"/>
                <w:color w:val="231F20"/>
                <w:sz w:val="22"/>
                <w:szCs w:val="22"/>
              </w:rPr>
              <w:t xml:space="preserve"> (</w:t>
            </w:r>
            <w:r w:rsidR="00A544CE">
              <w:rPr>
                <w:rFonts w:asciiTheme="majorHAnsi" w:hAnsiTheme="majorHAnsi" w:cs="Helvetica"/>
                <w:color w:val="231F20"/>
                <w:sz w:val="22"/>
                <w:szCs w:val="22"/>
              </w:rPr>
              <w:t>Social Rent</w:t>
            </w:r>
            <w:r w:rsidR="00F000C9">
              <w:rPr>
                <w:rFonts w:asciiTheme="majorHAnsi" w:hAnsiTheme="majorHAnsi" w:cs="Helvetica"/>
                <w:color w:val="231F20"/>
                <w:sz w:val="22"/>
                <w:szCs w:val="22"/>
              </w:rPr>
              <w:t>)</w:t>
            </w:r>
          </w:p>
        </w:tc>
        <w:tc>
          <w:tcPr>
            <w:tcW w:w="2121" w:type="dxa"/>
          </w:tcPr>
          <w:p w14:paraId="5BB08751" w14:textId="4ADB9663" w:rsidR="00A544CE" w:rsidRDefault="003A0D9E"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28</w:t>
            </w:r>
          </w:p>
        </w:tc>
        <w:tc>
          <w:tcPr>
            <w:tcW w:w="3002" w:type="dxa"/>
          </w:tcPr>
          <w:p w14:paraId="1E4424BD" w14:textId="4E4B6FB9" w:rsidR="00A544CE" w:rsidRDefault="001B61A9"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33</w:t>
            </w:r>
            <w:r w:rsidR="00F000C9">
              <w:rPr>
                <w:rFonts w:asciiTheme="majorHAnsi" w:hAnsiTheme="majorHAnsi" w:cs="Helvetica"/>
                <w:color w:val="231F20"/>
                <w:sz w:val="22"/>
                <w:szCs w:val="22"/>
              </w:rPr>
              <w:t>.</w:t>
            </w:r>
            <w:r>
              <w:rPr>
                <w:rFonts w:asciiTheme="majorHAnsi" w:hAnsiTheme="majorHAnsi" w:cs="Helvetica"/>
                <w:color w:val="231F20"/>
                <w:sz w:val="22"/>
                <w:szCs w:val="22"/>
              </w:rPr>
              <w:t>33</w:t>
            </w:r>
          </w:p>
        </w:tc>
      </w:tr>
      <w:tr w:rsidR="00F000C9" w14:paraId="09E4EDD1" w14:textId="77777777" w:rsidTr="00A8409C">
        <w:tc>
          <w:tcPr>
            <w:tcW w:w="2428" w:type="dxa"/>
          </w:tcPr>
          <w:p w14:paraId="04942278" w14:textId="563A2B08" w:rsidR="00F000C9" w:rsidRDefault="00820B94"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2B/3P apartments</w:t>
            </w:r>
            <w:r w:rsidR="00F000C9">
              <w:rPr>
                <w:rFonts w:asciiTheme="majorHAnsi" w:hAnsiTheme="majorHAnsi" w:cs="Helvetica"/>
                <w:color w:val="231F20"/>
                <w:sz w:val="22"/>
                <w:szCs w:val="22"/>
              </w:rPr>
              <w:t xml:space="preserve"> (Social Rent)</w:t>
            </w:r>
          </w:p>
        </w:tc>
        <w:tc>
          <w:tcPr>
            <w:tcW w:w="2121" w:type="dxa"/>
          </w:tcPr>
          <w:p w14:paraId="41FB1848" w14:textId="70C5CBBC" w:rsidR="00F000C9" w:rsidRDefault="003A0D9E"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56</w:t>
            </w:r>
          </w:p>
        </w:tc>
        <w:tc>
          <w:tcPr>
            <w:tcW w:w="3002" w:type="dxa"/>
          </w:tcPr>
          <w:p w14:paraId="58DF4EF5" w14:textId="5E9F9D21" w:rsidR="00F000C9" w:rsidRDefault="005B39C3"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66.6</w:t>
            </w:r>
            <w:r w:rsidR="007E4FAA">
              <w:rPr>
                <w:rFonts w:asciiTheme="majorHAnsi" w:hAnsiTheme="majorHAnsi" w:cs="Helvetica"/>
                <w:color w:val="231F20"/>
                <w:sz w:val="22"/>
                <w:szCs w:val="22"/>
              </w:rPr>
              <w:t>7</w:t>
            </w:r>
            <w:r w:rsidR="00F000C9">
              <w:rPr>
                <w:rFonts w:asciiTheme="majorHAnsi" w:hAnsiTheme="majorHAnsi" w:cs="Helvetica"/>
                <w:color w:val="231F20"/>
                <w:sz w:val="22"/>
                <w:szCs w:val="22"/>
              </w:rPr>
              <w:t>%</w:t>
            </w:r>
          </w:p>
        </w:tc>
      </w:tr>
      <w:tr w:rsidR="00A544CE" w14:paraId="326CF369" w14:textId="77777777" w:rsidTr="00A8409C">
        <w:tc>
          <w:tcPr>
            <w:tcW w:w="2428" w:type="dxa"/>
          </w:tcPr>
          <w:p w14:paraId="029A6CB8"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Total</w:t>
            </w:r>
          </w:p>
        </w:tc>
        <w:tc>
          <w:tcPr>
            <w:tcW w:w="2121" w:type="dxa"/>
          </w:tcPr>
          <w:p w14:paraId="794991FA" w14:textId="3973A831" w:rsidR="00A544CE" w:rsidRPr="00AA15B1" w:rsidRDefault="00820B94" w:rsidP="00A8409C">
            <w:pPr>
              <w:pStyle w:val="NormalWeb"/>
              <w:spacing w:before="0" w:beforeAutospacing="0" w:after="150" w:afterAutospacing="0" w:line="336" w:lineRule="atLeast"/>
              <w:rPr>
                <w:rFonts w:asciiTheme="majorHAnsi" w:hAnsiTheme="majorHAnsi" w:cs="Helvetica"/>
                <w:b/>
                <w:color w:val="231F20"/>
                <w:sz w:val="22"/>
                <w:szCs w:val="22"/>
              </w:rPr>
            </w:pPr>
            <w:r>
              <w:rPr>
                <w:rFonts w:asciiTheme="majorHAnsi" w:hAnsiTheme="majorHAnsi" w:cs="Helvetica"/>
                <w:b/>
                <w:color w:val="231F20"/>
                <w:sz w:val="22"/>
                <w:szCs w:val="22"/>
              </w:rPr>
              <w:t>84</w:t>
            </w:r>
          </w:p>
        </w:tc>
        <w:tc>
          <w:tcPr>
            <w:tcW w:w="3002" w:type="dxa"/>
          </w:tcPr>
          <w:p w14:paraId="16721A70"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100%</w:t>
            </w:r>
            <w:r>
              <w:rPr>
                <w:rFonts w:asciiTheme="majorHAnsi" w:hAnsiTheme="majorHAnsi" w:cs="Helvetica"/>
                <w:b/>
                <w:color w:val="231F20"/>
                <w:sz w:val="22"/>
                <w:szCs w:val="22"/>
              </w:rPr>
              <w:t xml:space="preserve"> (100%)</w:t>
            </w:r>
          </w:p>
        </w:tc>
      </w:tr>
    </w:tbl>
    <w:p w14:paraId="18C2C9E1" w14:textId="77777777" w:rsidR="00A544CE" w:rsidRDefault="00A544CE" w:rsidP="00A544CE">
      <w:pPr>
        <w:pStyle w:val="NormalWeb"/>
        <w:shd w:val="clear" w:color="auto" w:fill="FFFFFF"/>
        <w:spacing w:before="0" w:beforeAutospacing="0" w:after="150" w:afterAutospacing="0" w:line="336" w:lineRule="atLeast"/>
        <w:rPr>
          <w:rFonts w:asciiTheme="majorHAnsi" w:hAnsiTheme="majorHAnsi" w:cs="Helvetica"/>
          <w:color w:val="231F20"/>
          <w:sz w:val="22"/>
          <w:szCs w:val="22"/>
        </w:rPr>
      </w:pPr>
    </w:p>
    <w:p w14:paraId="183758FB" w14:textId="77777777" w:rsidR="00461340" w:rsidRPr="00461340" w:rsidRDefault="00B07B2F" w:rsidP="00461340">
      <w:pPr>
        <w:pStyle w:val="NormalWeb"/>
        <w:shd w:val="clear" w:color="auto" w:fill="FFFFFF"/>
        <w:spacing w:after="150" w:line="336" w:lineRule="atLeast"/>
        <w:ind w:left="720" w:hanging="360"/>
        <w:rPr>
          <w:rFonts w:asciiTheme="majorHAnsi" w:hAnsiTheme="majorHAnsi" w:cs="Helvetica"/>
          <w:color w:val="231F20"/>
          <w:sz w:val="22"/>
          <w:szCs w:val="22"/>
        </w:rPr>
      </w:pPr>
      <w:r w:rsidRPr="00B07B2F">
        <w:rPr>
          <w:rFonts w:asciiTheme="majorHAnsi" w:hAnsiTheme="majorHAnsi" w:cs="Helvetica"/>
          <w:color w:val="231F20"/>
          <w:sz w:val="22"/>
          <w:szCs w:val="22"/>
        </w:rPr>
        <w:t>4.</w:t>
      </w:r>
      <w:r>
        <w:rPr>
          <w:rFonts w:asciiTheme="majorHAnsi" w:hAnsiTheme="majorHAnsi" w:cs="Helvetica"/>
          <w:color w:val="231F20"/>
          <w:sz w:val="22"/>
          <w:szCs w:val="22"/>
        </w:rPr>
        <w:t>3</w:t>
      </w:r>
      <w:r w:rsidRPr="00B07B2F">
        <w:rPr>
          <w:rFonts w:asciiTheme="majorHAnsi" w:hAnsiTheme="majorHAnsi" w:cs="Helvetica"/>
          <w:color w:val="231F20"/>
          <w:sz w:val="22"/>
          <w:szCs w:val="22"/>
        </w:rPr>
        <w:tab/>
      </w:r>
      <w:r w:rsidR="00461340" w:rsidRPr="00461340">
        <w:rPr>
          <w:rFonts w:asciiTheme="majorHAnsi" w:hAnsiTheme="majorHAnsi" w:cs="Helvetica"/>
          <w:color w:val="231F20"/>
          <w:sz w:val="22"/>
          <w:szCs w:val="22"/>
        </w:rPr>
        <w:t>The rents for all homes will be set at Social Rent levels and will therefore meet the definition of affordable housing contained within Annex 2 of the National Planning Policy Framework.</w:t>
      </w:r>
    </w:p>
    <w:p w14:paraId="77709444" w14:textId="7F3A24B7" w:rsidR="00B07B2F" w:rsidRDefault="00461340" w:rsidP="00461340">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r w:rsidRPr="00461340">
        <w:rPr>
          <w:rFonts w:asciiTheme="majorHAnsi" w:hAnsiTheme="majorHAnsi" w:cs="Helvetica"/>
          <w:color w:val="231F20"/>
          <w:sz w:val="22"/>
          <w:szCs w:val="22"/>
        </w:rPr>
        <w:t>Where service charges apply, WCHG will ensure that charges remain reasonable, transparent and affordable for residents through ongoing monitoring and effective management arrangements.</w:t>
      </w:r>
    </w:p>
    <w:p w14:paraId="2976908C" w14:textId="77777777" w:rsidR="00E7363C" w:rsidRDefault="00E7363C" w:rsidP="00E7363C">
      <w:pPr>
        <w:pStyle w:val="NormalWeb"/>
        <w:shd w:val="clear" w:color="auto" w:fill="FFFFFF"/>
        <w:spacing w:before="0" w:beforeAutospacing="0" w:after="150" w:afterAutospacing="0" w:line="336" w:lineRule="atLeast"/>
        <w:rPr>
          <w:rFonts w:asciiTheme="majorHAnsi" w:hAnsiTheme="majorHAnsi" w:cs="Helvetica"/>
          <w:color w:val="231F20"/>
          <w:sz w:val="22"/>
          <w:szCs w:val="22"/>
        </w:rPr>
      </w:pPr>
    </w:p>
    <w:p w14:paraId="5D63D2F5" w14:textId="4B037DC8" w:rsidR="00E7363C" w:rsidRDefault="00125D97" w:rsidP="00093DA3">
      <w:pPr>
        <w:pStyle w:val="NormalWeb"/>
        <w:shd w:val="clear" w:color="auto" w:fill="FFFFFF"/>
        <w:spacing w:after="150" w:line="336" w:lineRule="atLeast"/>
        <w:ind w:left="720" w:hanging="375"/>
        <w:rPr>
          <w:rFonts w:asciiTheme="majorHAnsi" w:hAnsiTheme="majorHAnsi" w:cs="Helvetica"/>
          <w:color w:val="231F20"/>
          <w:sz w:val="22"/>
          <w:szCs w:val="22"/>
        </w:rPr>
      </w:pPr>
      <w:r>
        <w:rPr>
          <w:rFonts w:asciiTheme="majorHAnsi" w:hAnsiTheme="majorHAnsi" w:cs="Helvetica"/>
          <w:color w:val="231F20"/>
          <w:sz w:val="22"/>
          <w:szCs w:val="22"/>
        </w:rPr>
        <w:tab/>
      </w:r>
    </w:p>
    <w:p w14:paraId="1FCA9882" w14:textId="1D98C50E" w:rsidR="00125D97" w:rsidRDefault="00156C25" w:rsidP="00125D97">
      <w:pPr>
        <w:pStyle w:val="NormalWeb"/>
        <w:shd w:val="clear" w:color="auto" w:fill="FFFFFF"/>
        <w:spacing w:after="150" w:line="336" w:lineRule="atLeast"/>
        <w:ind w:left="720" w:hanging="375"/>
        <w:rPr>
          <w:rFonts w:asciiTheme="majorHAnsi" w:hAnsiTheme="majorHAnsi" w:cs="Helvetica"/>
          <w:color w:val="231F20"/>
          <w:sz w:val="22"/>
          <w:szCs w:val="22"/>
        </w:rPr>
      </w:pPr>
      <w:r>
        <w:rPr>
          <w:rFonts w:asciiTheme="majorHAnsi" w:hAnsiTheme="majorHAnsi" w:cs="Helvetica"/>
          <w:color w:val="231F20"/>
          <w:sz w:val="22"/>
          <w:szCs w:val="22"/>
        </w:rPr>
        <w:lastRenderedPageBreak/>
        <w:t>4.</w:t>
      </w:r>
      <w:r w:rsidR="00093DA3">
        <w:rPr>
          <w:rFonts w:asciiTheme="majorHAnsi" w:hAnsiTheme="majorHAnsi" w:cs="Helvetica"/>
          <w:color w:val="231F20"/>
          <w:sz w:val="22"/>
          <w:szCs w:val="22"/>
        </w:rPr>
        <w:t>4</w:t>
      </w:r>
      <w:r>
        <w:rPr>
          <w:rFonts w:asciiTheme="majorHAnsi" w:hAnsiTheme="majorHAnsi" w:cs="Helvetica"/>
          <w:color w:val="231F20"/>
          <w:sz w:val="22"/>
          <w:szCs w:val="22"/>
        </w:rPr>
        <w:t xml:space="preserve"> </w:t>
      </w:r>
      <w:r w:rsidRPr="00156C25">
        <w:rPr>
          <w:rFonts w:asciiTheme="majorHAnsi" w:hAnsiTheme="majorHAnsi" w:cs="Helvetica"/>
          <w:color w:val="231F20"/>
          <w:sz w:val="22"/>
          <w:szCs w:val="22"/>
        </w:rPr>
        <w:t xml:space="preserve">The </w:t>
      </w:r>
      <w:r w:rsidR="00FB3AD7">
        <w:rPr>
          <w:rFonts w:asciiTheme="majorHAnsi" w:hAnsiTheme="majorHAnsi" w:cs="Helvetica"/>
          <w:color w:val="231F20"/>
          <w:sz w:val="22"/>
          <w:szCs w:val="22"/>
        </w:rPr>
        <w:t>homes</w:t>
      </w:r>
      <w:r w:rsidRPr="00156C25">
        <w:rPr>
          <w:rFonts w:asciiTheme="majorHAnsi" w:hAnsiTheme="majorHAnsi" w:cs="Helvetica"/>
          <w:color w:val="231F20"/>
          <w:sz w:val="22"/>
          <w:szCs w:val="22"/>
        </w:rPr>
        <w:t xml:space="preserve"> will also be allocated through Manchester Move and the WCHG allocations policy, ensuring a fair, transparent and accessible process.</w:t>
      </w:r>
    </w:p>
    <w:p w14:paraId="26AFF972" w14:textId="458F3870" w:rsidR="00156C25" w:rsidRPr="0027512B" w:rsidRDefault="00156C25" w:rsidP="00125D97">
      <w:pPr>
        <w:pStyle w:val="NormalWeb"/>
        <w:shd w:val="clear" w:color="auto" w:fill="FFFFFF"/>
        <w:spacing w:after="150" w:line="336" w:lineRule="atLeast"/>
        <w:ind w:left="720" w:hanging="375"/>
        <w:rPr>
          <w:rFonts w:asciiTheme="majorHAnsi" w:hAnsiTheme="majorHAnsi" w:cs="Helvetica"/>
          <w:color w:val="231F20"/>
          <w:sz w:val="22"/>
          <w:szCs w:val="22"/>
        </w:rPr>
      </w:pPr>
      <w:r>
        <w:rPr>
          <w:rFonts w:asciiTheme="majorHAnsi" w:hAnsiTheme="majorHAnsi" w:cs="Helvetica"/>
          <w:color w:val="231F20"/>
          <w:sz w:val="22"/>
          <w:szCs w:val="22"/>
        </w:rPr>
        <w:t>4.</w:t>
      </w:r>
      <w:r w:rsidR="00093DA3">
        <w:rPr>
          <w:rFonts w:asciiTheme="majorHAnsi" w:hAnsiTheme="majorHAnsi" w:cs="Helvetica"/>
          <w:color w:val="231F20"/>
          <w:sz w:val="22"/>
          <w:szCs w:val="22"/>
        </w:rPr>
        <w:t>5</w:t>
      </w:r>
      <w:r>
        <w:rPr>
          <w:rFonts w:asciiTheme="majorHAnsi" w:hAnsiTheme="majorHAnsi" w:cs="Helvetica"/>
          <w:color w:val="231F20"/>
          <w:sz w:val="22"/>
          <w:szCs w:val="22"/>
        </w:rPr>
        <w:t xml:space="preserve"> </w:t>
      </w:r>
      <w:r w:rsidR="006A150D" w:rsidRPr="006A150D">
        <w:rPr>
          <w:rFonts w:asciiTheme="majorHAnsi" w:hAnsiTheme="majorHAnsi" w:cs="Helvetica"/>
          <w:color w:val="231F20"/>
          <w:sz w:val="22"/>
          <w:szCs w:val="22"/>
        </w:rPr>
        <w:t>All affordable homes within the development will be delivered with the support of Homes England grant funding and will remain affordable housing in perpetuity, subject to any variations agreed in writing by the Local Planning Authority</w:t>
      </w:r>
    </w:p>
    <w:p w14:paraId="03C78233" w14:textId="77777777" w:rsidR="00A544CE" w:rsidRPr="007D79EA" w:rsidRDefault="00A544CE" w:rsidP="00A544CE">
      <w:pPr>
        <w:pStyle w:val="NormalWeb"/>
        <w:numPr>
          <w:ilvl w:val="0"/>
          <w:numId w:val="3"/>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Conclusions</w:t>
      </w:r>
    </w:p>
    <w:p w14:paraId="501373E7" w14:textId="14B9E2AB" w:rsidR="00A544CE" w:rsidRPr="00D67BB8" w:rsidRDefault="00AA4A5B" w:rsidP="004C2480">
      <w:pPr>
        <w:pStyle w:val="NormalWeb"/>
        <w:numPr>
          <w:ilvl w:val="1"/>
          <w:numId w:val="2"/>
        </w:numPr>
        <w:shd w:val="clear" w:color="auto" w:fill="FFFFFF"/>
        <w:tabs>
          <w:tab w:val="left" w:pos="1003"/>
        </w:tabs>
        <w:spacing w:before="0" w:beforeAutospacing="0" w:after="0" w:afterAutospacing="0" w:line="336" w:lineRule="atLeast"/>
        <w:rPr>
          <w:rFonts w:asciiTheme="majorHAnsi" w:hAnsiTheme="majorHAnsi" w:cs="Helvetica"/>
          <w:color w:val="231F20"/>
          <w:sz w:val="22"/>
          <w:szCs w:val="22"/>
        </w:rPr>
      </w:pPr>
      <w:r w:rsidRPr="00AA4A5B">
        <w:rPr>
          <w:rFonts w:asciiTheme="majorHAnsi" w:hAnsiTheme="majorHAnsi" w:cs="Helvetica"/>
          <w:color w:val="231F20"/>
          <w:sz w:val="22"/>
          <w:szCs w:val="22"/>
        </w:rPr>
        <w:t xml:space="preserve">The proposed development will deliver </w:t>
      </w:r>
      <w:r w:rsidR="00093DA3">
        <w:rPr>
          <w:rFonts w:asciiTheme="majorHAnsi" w:hAnsiTheme="majorHAnsi" w:cs="Helvetica"/>
          <w:color w:val="231F20"/>
          <w:sz w:val="22"/>
          <w:szCs w:val="22"/>
        </w:rPr>
        <w:t>84</w:t>
      </w:r>
      <w:r w:rsidRPr="00AA4A5B">
        <w:rPr>
          <w:rFonts w:asciiTheme="majorHAnsi" w:hAnsiTheme="majorHAnsi" w:cs="Helvetica"/>
          <w:color w:val="231F20"/>
          <w:sz w:val="22"/>
          <w:szCs w:val="22"/>
        </w:rPr>
        <w:t xml:space="preserve"> affordable homes, representing 100% affordable housing provision across the site.</w:t>
      </w:r>
    </w:p>
    <w:p w14:paraId="2446415E" w14:textId="77777777" w:rsidR="00AA4A5B" w:rsidRPr="00D67BB8" w:rsidRDefault="00AA4A5B" w:rsidP="00AE34B3">
      <w:pPr>
        <w:pStyle w:val="NormalWeb"/>
        <w:shd w:val="clear" w:color="auto" w:fill="FFFFFF"/>
        <w:tabs>
          <w:tab w:val="left" w:pos="1003"/>
        </w:tabs>
        <w:spacing w:before="0" w:beforeAutospacing="0" w:after="0" w:afterAutospacing="0" w:line="336" w:lineRule="atLeast"/>
        <w:rPr>
          <w:rFonts w:asciiTheme="majorHAnsi" w:hAnsiTheme="majorHAnsi" w:cs="Helvetica"/>
          <w:color w:val="231F20"/>
          <w:sz w:val="22"/>
          <w:szCs w:val="22"/>
        </w:rPr>
      </w:pPr>
    </w:p>
    <w:p w14:paraId="2E0B8CBF" w14:textId="77777777" w:rsidR="00AE34B3" w:rsidRPr="006C678B" w:rsidRDefault="006C678B" w:rsidP="00D67BB8">
      <w:pPr>
        <w:pStyle w:val="NormalWeb"/>
        <w:numPr>
          <w:ilvl w:val="1"/>
          <w:numId w:val="2"/>
        </w:numPr>
        <w:shd w:val="clear" w:color="auto" w:fill="FFFFFF"/>
        <w:tabs>
          <w:tab w:val="left" w:pos="1003"/>
        </w:tabs>
        <w:spacing w:before="0" w:beforeAutospacing="0" w:after="0" w:afterAutospacing="0" w:line="336" w:lineRule="atLeast"/>
        <w:rPr>
          <w:color w:val="000000" w:themeColor="text1"/>
        </w:rPr>
      </w:pPr>
      <w:r w:rsidRPr="006C678B">
        <w:rPr>
          <w:rFonts w:asciiTheme="majorHAnsi" w:hAnsiTheme="majorHAnsi" w:cs="Helvetica"/>
          <w:color w:val="231F20"/>
          <w:sz w:val="22"/>
          <w:szCs w:val="22"/>
        </w:rPr>
        <w:t>The development will support WCHG's wider objectives of creating sustainable communities, promoting independent living and increasing the supply of affordable housing.</w:t>
      </w:r>
    </w:p>
    <w:p w14:paraId="0DDA3448" w14:textId="77777777" w:rsidR="006C678B" w:rsidRDefault="006C678B" w:rsidP="006C678B">
      <w:pPr>
        <w:pStyle w:val="NormalWeb"/>
        <w:shd w:val="clear" w:color="auto" w:fill="FFFFFF"/>
        <w:tabs>
          <w:tab w:val="left" w:pos="1003"/>
        </w:tabs>
        <w:spacing w:before="0" w:beforeAutospacing="0" w:after="0" w:afterAutospacing="0" w:line="336" w:lineRule="atLeast"/>
        <w:rPr>
          <w:rFonts w:asciiTheme="majorHAnsi" w:hAnsiTheme="majorHAnsi" w:cs="Helvetica"/>
          <w:color w:val="231F20"/>
          <w:sz w:val="22"/>
          <w:szCs w:val="22"/>
        </w:rPr>
      </w:pPr>
    </w:p>
    <w:p w14:paraId="60D48AFA" w14:textId="21E9152C" w:rsidR="00E93D90" w:rsidRPr="0027512B" w:rsidRDefault="00E93D90" w:rsidP="006C678B">
      <w:pPr>
        <w:pStyle w:val="NormalWeb"/>
        <w:shd w:val="clear" w:color="auto" w:fill="FFFFFF"/>
        <w:tabs>
          <w:tab w:val="left" w:pos="1003"/>
        </w:tabs>
        <w:spacing w:before="0" w:beforeAutospacing="0" w:after="0" w:afterAutospacing="0" w:line="336" w:lineRule="atLeast"/>
        <w:rPr>
          <w:color w:val="000000" w:themeColor="text1"/>
        </w:rPr>
        <w:sectPr w:rsidR="00E93D90" w:rsidRPr="0027512B" w:rsidSect="00A544CE">
          <w:headerReference w:type="default" r:id="rId11"/>
          <w:pgSz w:w="11900" w:h="16840"/>
          <w:pgMar w:top="3828" w:right="1134" w:bottom="1758" w:left="1134" w:header="851" w:footer="454" w:gutter="0"/>
          <w:cols w:space="708"/>
          <w:docGrid w:linePitch="245"/>
        </w:sectPr>
      </w:pPr>
      <w:r>
        <w:rPr>
          <w:rFonts w:asciiTheme="majorHAnsi" w:hAnsiTheme="majorHAnsi" w:cs="Helvetica"/>
          <w:color w:val="231F20"/>
          <w:sz w:val="22"/>
          <w:szCs w:val="22"/>
        </w:rPr>
        <w:t xml:space="preserve">       </w:t>
      </w:r>
    </w:p>
    <w:p w14:paraId="73F01104" w14:textId="77777777" w:rsidR="00D05318" w:rsidRPr="00530F42" w:rsidRDefault="00D05318" w:rsidP="004C2480">
      <w:pPr>
        <w:spacing w:after="0"/>
        <w:rPr>
          <w:color w:val="000000" w:themeColor="text1"/>
          <w:sz w:val="24"/>
          <w:szCs w:val="24"/>
        </w:rPr>
      </w:pPr>
    </w:p>
    <w:sectPr w:rsidR="00D05318" w:rsidRPr="00530F42" w:rsidSect="00685031">
      <w:headerReference w:type="default" r:id="rId12"/>
      <w:pgSz w:w="11900" w:h="16840"/>
      <w:pgMar w:top="2948" w:right="1134" w:bottom="1758"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AC29D" w14:textId="77777777" w:rsidR="00B52AB3" w:rsidRDefault="00B52AB3" w:rsidP="00FC31C6">
      <w:pPr>
        <w:spacing w:after="0"/>
      </w:pPr>
      <w:r>
        <w:separator/>
      </w:r>
    </w:p>
  </w:endnote>
  <w:endnote w:type="continuationSeparator" w:id="0">
    <w:p w14:paraId="24F1B628" w14:textId="77777777" w:rsidR="00B52AB3" w:rsidRDefault="00B52AB3" w:rsidP="00FC31C6">
      <w:pPr>
        <w:spacing w:after="0"/>
      </w:pPr>
      <w:r>
        <w:continuationSeparator/>
      </w:r>
    </w:p>
  </w:endnote>
  <w:endnote w:type="continuationNotice" w:id="1">
    <w:p w14:paraId="793E0DCE" w14:textId="77777777" w:rsidR="00B52AB3" w:rsidRDefault="00B52AB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7EAC0" w14:textId="77777777" w:rsidR="00B52AB3" w:rsidRDefault="00B52AB3" w:rsidP="00FC31C6">
      <w:pPr>
        <w:spacing w:after="0"/>
      </w:pPr>
      <w:r>
        <w:separator/>
      </w:r>
    </w:p>
  </w:footnote>
  <w:footnote w:type="continuationSeparator" w:id="0">
    <w:p w14:paraId="18CFB692" w14:textId="77777777" w:rsidR="00B52AB3" w:rsidRDefault="00B52AB3" w:rsidP="00FC31C6">
      <w:pPr>
        <w:spacing w:after="0"/>
      </w:pPr>
      <w:r>
        <w:continuationSeparator/>
      </w:r>
    </w:p>
  </w:footnote>
  <w:footnote w:type="continuationNotice" w:id="1">
    <w:p w14:paraId="3894D2AF" w14:textId="77777777" w:rsidR="00B52AB3" w:rsidRDefault="00B52AB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E9FE" w14:textId="4B394813" w:rsidR="00FC31C6" w:rsidRDefault="007E1B70">
    <w:pPr>
      <w:pStyle w:val="Header"/>
    </w:pPr>
    <w:r>
      <w:rPr>
        <w:noProof/>
      </w:rPr>
      <w:drawing>
        <wp:anchor distT="0" distB="0" distL="114300" distR="114300" simplePos="0" relativeHeight="251661824" behindDoc="1" locked="1" layoutInCell="0" allowOverlap="1" wp14:anchorId="6F8ED5B8" wp14:editId="4E0DCE77">
          <wp:simplePos x="0" y="0"/>
          <wp:positionH relativeFrom="page">
            <wp:align>center</wp:align>
          </wp:positionH>
          <wp:positionV relativeFrom="page">
            <wp:align>center</wp:align>
          </wp:positionV>
          <wp:extent cx="7552690" cy="10688320"/>
          <wp:effectExtent l="0" t="0" r="3810" b="5080"/>
          <wp:wrapNone/>
          <wp:docPr id="1286715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863381" name="Picture 1"/>
                  <pic:cNvPicPr/>
                </pic:nvPicPr>
                <pic:blipFill>
                  <a:blip r:embed="rId1"/>
                  <a:stretch>
                    <a:fillRect/>
                  </a:stretch>
                </pic:blipFill>
                <pic:spPr>
                  <a:xfrm>
                    <a:off x="0" y="0"/>
                    <a:ext cx="7553273" cy="1068883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4F0A" w14:textId="77777777" w:rsidR="004C2D1F" w:rsidRDefault="00FC2671">
    <w:pPr>
      <w:pStyle w:val="Header"/>
    </w:pPr>
    <w:r>
      <w:rPr>
        <w:noProof/>
        <w:lang w:eastAsia="en-US"/>
      </w:rPr>
      <w:drawing>
        <wp:anchor distT="0" distB="0" distL="114300" distR="114300" simplePos="0" relativeHeight="251658240" behindDoc="1" locked="0" layoutInCell="1" allowOverlap="1" wp14:anchorId="6A1C6096" wp14:editId="094D7D0E">
          <wp:simplePos x="0" y="0"/>
          <wp:positionH relativeFrom="page">
            <wp:align>left</wp:align>
          </wp:positionH>
          <wp:positionV relativeFrom="page">
            <wp:align>top</wp:align>
          </wp:positionV>
          <wp:extent cx="7556739" cy="1069373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556739" cy="10693739"/>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70C06"/>
    <w:multiLevelType w:val="hybridMultilevel"/>
    <w:tmpl w:val="F8C43B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0978835"/>
    <w:multiLevelType w:val="hybridMultilevel"/>
    <w:tmpl w:val="BAC49712"/>
    <w:lvl w:ilvl="0" w:tplc="2D4C2DF0">
      <w:start w:val="1"/>
      <w:numFmt w:val="decimal"/>
      <w:lvlText w:val="%1."/>
      <w:lvlJc w:val="left"/>
      <w:pPr>
        <w:ind w:left="720" w:hanging="360"/>
      </w:pPr>
    </w:lvl>
    <w:lvl w:ilvl="1" w:tplc="B9AC8302">
      <w:start w:val="1"/>
      <w:numFmt w:val="lowerLetter"/>
      <w:lvlText w:val="%2."/>
      <w:lvlJc w:val="left"/>
      <w:pPr>
        <w:ind w:left="1440" w:hanging="360"/>
      </w:pPr>
    </w:lvl>
    <w:lvl w:ilvl="2" w:tplc="85FEE2A8">
      <w:start w:val="1"/>
      <w:numFmt w:val="lowerRoman"/>
      <w:lvlText w:val="%3."/>
      <w:lvlJc w:val="right"/>
      <w:pPr>
        <w:ind w:left="2160" w:hanging="180"/>
      </w:pPr>
    </w:lvl>
    <w:lvl w:ilvl="3" w:tplc="0478DF6C">
      <w:start w:val="1"/>
      <w:numFmt w:val="decimal"/>
      <w:lvlText w:val="%4."/>
      <w:lvlJc w:val="left"/>
      <w:pPr>
        <w:ind w:left="2880" w:hanging="360"/>
      </w:pPr>
    </w:lvl>
    <w:lvl w:ilvl="4" w:tplc="AD32E81E">
      <w:start w:val="1"/>
      <w:numFmt w:val="lowerLetter"/>
      <w:lvlText w:val="%5."/>
      <w:lvlJc w:val="left"/>
      <w:pPr>
        <w:ind w:left="3600" w:hanging="360"/>
      </w:pPr>
    </w:lvl>
    <w:lvl w:ilvl="5" w:tplc="8BCEBE30">
      <w:start w:val="1"/>
      <w:numFmt w:val="lowerRoman"/>
      <w:lvlText w:val="%6."/>
      <w:lvlJc w:val="right"/>
      <w:pPr>
        <w:ind w:left="4320" w:hanging="180"/>
      </w:pPr>
    </w:lvl>
    <w:lvl w:ilvl="6" w:tplc="E5E63C72">
      <w:start w:val="1"/>
      <w:numFmt w:val="decimal"/>
      <w:lvlText w:val="%7."/>
      <w:lvlJc w:val="left"/>
      <w:pPr>
        <w:ind w:left="5040" w:hanging="360"/>
      </w:pPr>
    </w:lvl>
    <w:lvl w:ilvl="7" w:tplc="5FF22FA6">
      <w:start w:val="1"/>
      <w:numFmt w:val="lowerLetter"/>
      <w:lvlText w:val="%8."/>
      <w:lvlJc w:val="left"/>
      <w:pPr>
        <w:ind w:left="5760" w:hanging="360"/>
      </w:pPr>
    </w:lvl>
    <w:lvl w:ilvl="8" w:tplc="5164E570">
      <w:start w:val="1"/>
      <w:numFmt w:val="lowerRoman"/>
      <w:lvlText w:val="%9."/>
      <w:lvlJc w:val="right"/>
      <w:pPr>
        <w:ind w:left="6480" w:hanging="180"/>
      </w:pPr>
    </w:lvl>
  </w:abstractNum>
  <w:abstractNum w:abstractNumId="2" w15:restartNumberingAfterBreak="0">
    <w:nsid w:val="48297F36"/>
    <w:multiLevelType w:val="multilevel"/>
    <w:tmpl w:val="2E805E6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6173517B"/>
    <w:multiLevelType w:val="hybridMultilevel"/>
    <w:tmpl w:val="EF5655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905A1C"/>
    <w:multiLevelType w:val="multilevel"/>
    <w:tmpl w:val="0344B6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808163607">
    <w:abstractNumId w:val="1"/>
  </w:num>
  <w:num w:numId="2" w16cid:durableId="1143814919">
    <w:abstractNumId w:val="4"/>
  </w:num>
  <w:num w:numId="3" w16cid:durableId="2064712438">
    <w:abstractNumId w:val="3"/>
  </w:num>
  <w:num w:numId="4" w16cid:durableId="351567578">
    <w:abstractNumId w:val="2"/>
  </w:num>
  <w:num w:numId="5" w16cid:durableId="1530610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1C6"/>
    <w:rsid w:val="00014BB5"/>
    <w:rsid w:val="00053827"/>
    <w:rsid w:val="000645B9"/>
    <w:rsid w:val="00075605"/>
    <w:rsid w:val="00093DA3"/>
    <w:rsid w:val="000B0F69"/>
    <w:rsid w:val="000E2EF8"/>
    <w:rsid w:val="000F42A2"/>
    <w:rsid w:val="00102F2A"/>
    <w:rsid w:val="00115CD1"/>
    <w:rsid w:val="00125D97"/>
    <w:rsid w:val="00151BC7"/>
    <w:rsid w:val="00156C25"/>
    <w:rsid w:val="00161292"/>
    <w:rsid w:val="001B61A9"/>
    <w:rsid w:val="001C347A"/>
    <w:rsid w:val="0020274B"/>
    <w:rsid w:val="00253C3A"/>
    <w:rsid w:val="0027512B"/>
    <w:rsid w:val="002A1904"/>
    <w:rsid w:val="00331A43"/>
    <w:rsid w:val="00350162"/>
    <w:rsid w:val="00371DD5"/>
    <w:rsid w:val="003A0D9E"/>
    <w:rsid w:val="00420B5F"/>
    <w:rsid w:val="00427E88"/>
    <w:rsid w:val="00461340"/>
    <w:rsid w:val="00495192"/>
    <w:rsid w:val="004C2480"/>
    <w:rsid w:val="004C2D1F"/>
    <w:rsid w:val="00506582"/>
    <w:rsid w:val="005132F3"/>
    <w:rsid w:val="00521FD8"/>
    <w:rsid w:val="00530F42"/>
    <w:rsid w:val="0053763F"/>
    <w:rsid w:val="005B39C3"/>
    <w:rsid w:val="005D0C9B"/>
    <w:rsid w:val="0061219F"/>
    <w:rsid w:val="00685031"/>
    <w:rsid w:val="006A150D"/>
    <w:rsid w:val="006C678B"/>
    <w:rsid w:val="00723C70"/>
    <w:rsid w:val="00766CE7"/>
    <w:rsid w:val="00790DC1"/>
    <w:rsid w:val="00795AC5"/>
    <w:rsid w:val="007C2B19"/>
    <w:rsid w:val="007D38A2"/>
    <w:rsid w:val="007E1B70"/>
    <w:rsid w:val="007E4FAA"/>
    <w:rsid w:val="007F0340"/>
    <w:rsid w:val="007F3F1E"/>
    <w:rsid w:val="008054CA"/>
    <w:rsid w:val="00820B94"/>
    <w:rsid w:val="0085331D"/>
    <w:rsid w:val="008701E2"/>
    <w:rsid w:val="008817CA"/>
    <w:rsid w:val="00896BDC"/>
    <w:rsid w:val="009003C3"/>
    <w:rsid w:val="00900F23"/>
    <w:rsid w:val="009121FD"/>
    <w:rsid w:val="009B5FEF"/>
    <w:rsid w:val="009F4796"/>
    <w:rsid w:val="00A544CE"/>
    <w:rsid w:val="00A70422"/>
    <w:rsid w:val="00A7382B"/>
    <w:rsid w:val="00A74A38"/>
    <w:rsid w:val="00A820C9"/>
    <w:rsid w:val="00A9795D"/>
    <w:rsid w:val="00AA4A5B"/>
    <w:rsid w:val="00AE34B3"/>
    <w:rsid w:val="00B07B2F"/>
    <w:rsid w:val="00B44AAD"/>
    <w:rsid w:val="00B510AA"/>
    <w:rsid w:val="00B52AB3"/>
    <w:rsid w:val="00BB4DE5"/>
    <w:rsid w:val="00BF6D3F"/>
    <w:rsid w:val="00C02C45"/>
    <w:rsid w:val="00C22B28"/>
    <w:rsid w:val="00C23A00"/>
    <w:rsid w:val="00C74813"/>
    <w:rsid w:val="00D05318"/>
    <w:rsid w:val="00D11A69"/>
    <w:rsid w:val="00D40AAB"/>
    <w:rsid w:val="00D40BF2"/>
    <w:rsid w:val="00D67BB8"/>
    <w:rsid w:val="00DE1BA6"/>
    <w:rsid w:val="00DF2614"/>
    <w:rsid w:val="00E071B5"/>
    <w:rsid w:val="00E3284B"/>
    <w:rsid w:val="00E33D36"/>
    <w:rsid w:val="00E602DB"/>
    <w:rsid w:val="00E6237B"/>
    <w:rsid w:val="00E7363C"/>
    <w:rsid w:val="00E93D90"/>
    <w:rsid w:val="00EA4625"/>
    <w:rsid w:val="00EF42C1"/>
    <w:rsid w:val="00F000C9"/>
    <w:rsid w:val="00F0539D"/>
    <w:rsid w:val="00F14CB7"/>
    <w:rsid w:val="00F3128A"/>
    <w:rsid w:val="00FB3AD7"/>
    <w:rsid w:val="00FC2671"/>
    <w:rsid w:val="00FC31C6"/>
    <w:rsid w:val="00FC35EF"/>
    <w:rsid w:val="00FE464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8A407C"/>
  <w15:docId w15:val="{E3B68C8F-FD4D-4341-8060-58759C49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18"/>
        <w:szCs w:val="18"/>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4C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31C6"/>
    <w:pPr>
      <w:tabs>
        <w:tab w:val="center" w:pos="4320"/>
        <w:tab w:val="right" w:pos="8640"/>
      </w:tabs>
      <w:spacing w:after="0"/>
    </w:pPr>
  </w:style>
  <w:style w:type="character" w:customStyle="1" w:styleId="HeaderChar">
    <w:name w:val="Header Char"/>
    <w:basedOn w:val="DefaultParagraphFont"/>
    <w:link w:val="Header"/>
    <w:uiPriority w:val="99"/>
    <w:rsid w:val="00FC31C6"/>
  </w:style>
  <w:style w:type="paragraph" w:styleId="Footer">
    <w:name w:val="footer"/>
    <w:basedOn w:val="Normal"/>
    <w:link w:val="FooterChar"/>
    <w:uiPriority w:val="99"/>
    <w:unhideWhenUsed/>
    <w:rsid w:val="00FC31C6"/>
    <w:pPr>
      <w:tabs>
        <w:tab w:val="center" w:pos="4320"/>
        <w:tab w:val="right" w:pos="8640"/>
      </w:tabs>
      <w:spacing w:after="0"/>
    </w:pPr>
  </w:style>
  <w:style w:type="character" w:customStyle="1" w:styleId="FooterChar">
    <w:name w:val="Footer Char"/>
    <w:basedOn w:val="DefaultParagraphFont"/>
    <w:link w:val="Footer"/>
    <w:uiPriority w:val="99"/>
    <w:rsid w:val="00FC31C6"/>
  </w:style>
  <w:style w:type="paragraph" w:styleId="BalloonText">
    <w:name w:val="Balloon Text"/>
    <w:basedOn w:val="Normal"/>
    <w:link w:val="BalloonTextChar"/>
    <w:uiPriority w:val="99"/>
    <w:semiHidden/>
    <w:unhideWhenUsed/>
    <w:rsid w:val="00FC31C6"/>
    <w:pPr>
      <w:spacing w:after="0"/>
    </w:pPr>
    <w:rPr>
      <w:rFonts w:ascii="Lucida Grande" w:hAnsi="Lucida Grande"/>
    </w:rPr>
  </w:style>
  <w:style w:type="character" w:customStyle="1" w:styleId="BalloonTextChar">
    <w:name w:val="Balloon Text Char"/>
    <w:basedOn w:val="DefaultParagraphFont"/>
    <w:link w:val="BalloonText"/>
    <w:uiPriority w:val="99"/>
    <w:semiHidden/>
    <w:rsid w:val="00FC31C6"/>
    <w:rPr>
      <w:rFonts w:ascii="Lucida Grande" w:hAnsi="Lucida Grande"/>
    </w:rPr>
  </w:style>
  <w:style w:type="character" w:styleId="Hyperlink">
    <w:name w:val="Hyperlink"/>
    <w:basedOn w:val="DefaultParagraphFont"/>
    <w:uiPriority w:val="99"/>
    <w:unhideWhenUsed/>
    <w:rsid w:val="00A74A38"/>
    <w:rPr>
      <w:color w:val="0000FF" w:themeColor="hyperlink"/>
      <w:u w:val="single"/>
    </w:rPr>
  </w:style>
  <w:style w:type="character" w:styleId="UnresolvedMention">
    <w:name w:val="Unresolved Mention"/>
    <w:basedOn w:val="DefaultParagraphFont"/>
    <w:uiPriority w:val="99"/>
    <w:semiHidden/>
    <w:unhideWhenUsed/>
    <w:rsid w:val="00A74A38"/>
    <w:rPr>
      <w:color w:val="605E5C"/>
      <w:shd w:val="clear" w:color="auto" w:fill="E1DFDD"/>
    </w:rPr>
  </w:style>
  <w:style w:type="character" w:customStyle="1" w:styleId="Heading1Char">
    <w:name w:val="Heading 1 Char"/>
    <w:basedOn w:val="DefaultParagraphFont"/>
    <w:link w:val="Heading1"/>
    <w:uiPriority w:val="9"/>
    <w:rsid w:val="00A544CE"/>
    <w:rPr>
      <w:rFonts w:asciiTheme="majorHAnsi" w:eastAsiaTheme="majorEastAsia" w:hAnsiTheme="majorHAnsi" w:cstheme="majorBidi"/>
      <w:b/>
      <w:bCs/>
      <w:color w:val="365F91" w:themeColor="accent1" w:themeShade="BF"/>
      <w:sz w:val="28"/>
      <w:szCs w:val="28"/>
      <w:lang w:eastAsia="en-US"/>
    </w:rPr>
  </w:style>
  <w:style w:type="paragraph" w:styleId="ListParagraph">
    <w:name w:val="List Paragraph"/>
    <w:basedOn w:val="Normal"/>
    <w:uiPriority w:val="34"/>
    <w:qFormat/>
    <w:rsid w:val="00A544CE"/>
    <w:pPr>
      <w:spacing w:after="0"/>
      <w:ind w:left="720"/>
      <w:contextualSpacing/>
    </w:pPr>
    <w:rPr>
      <w:rFonts w:asciiTheme="minorHAnsi" w:hAnsiTheme="minorHAnsi" w:cstheme="minorBidi"/>
      <w:sz w:val="24"/>
      <w:szCs w:val="24"/>
      <w:lang w:eastAsia="en-US"/>
    </w:rPr>
  </w:style>
  <w:style w:type="paragraph" w:styleId="NoSpacing">
    <w:name w:val="No Spacing"/>
    <w:uiPriority w:val="1"/>
    <w:qFormat/>
    <w:rsid w:val="00A544CE"/>
    <w:pPr>
      <w:spacing w:after="0"/>
    </w:pPr>
    <w:rPr>
      <w:rFonts w:asciiTheme="minorHAnsi" w:hAnsiTheme="minorHAnsi" w:cstheme="minorBidi"/>
      <w:sz w:val="24"/>
      <w:szCs w:val="24"/>
      <w:lang w:eastAsia="en-US"/>
    </w:rPr>
  </w:style>
  <w:style w:type="paragraph" w:styleId="NormalWeb">
    <w:name w:val="Normal (Web)"/>
    <w:basedOn w:val="Normal"/>
    <w:uiPriority w:val="99"/>
    <w:unhideWhenUsed/>
    <w:rsid w:val="00A544CE"/>
    <w:pPr>
      <w:spacing w:before="100" w:beforeAutospacing="1" w:after="100" w:afterAutospacing="1"/>
    </w:pPr>
    <w:rPr>
      <w:rFonts w:ascii="Times New Roman" w:eastAsia="Times New Roman" w:hAnsi="Times New Roman" w:cs="Times New Roman"/>
      <w:sz w:val="24"/>
      <w:szCs w:val="24"/>
      <w:lang w:val="en-GB" w:eastAsia="en-GB"/>
    </w:rPr>
  </w:style>
  <w:style w:type="table" w:styleId="TableGrid">
    <w:name w:val="Table Grid"/>
    <w:basedOn w:val="TableNormal"/>
    <w:uiPriority w:val="59"/>
    <w:rsid w:val="00A544CE"/>
    <w:pPr>
      <w:spacing w:after="0"/>
    </w:pPr>
    <w:rPr>
      <w:rFonts w:ascii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3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8a3868-1b26-4333-8b43-48f2eaddf5f1">
      <Terms xmlns="http://schemas.microsoft.com/office/infopath/2007/PartnerControls"/>
    </lcf76f155ced4ddcb4097134ff3c332f>
    <TaxCatchAll xmlns="40e095b9-5682-4c9c-9582-57e1308511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F054BB-5803-4814-87EA-85D4F28F9E83}">
  <ds:schemaRefs>
    <ds:schemaRef ds:uri="http://schemas.microsoft.com/office/2006/metadata/properties"/>
    <ds:schemaRef ds:uri="http://schemas.microsoft.com/office/infopath/2007/PartnerControls"/>
    <ds:schemaRef ds:uri="4b1a9e67-4bd3-4e10-8ceb-d8428c69d47a"/>
    <ds:schemaRef ds:uri="66f71bc7-eed5-4ebc-893f-d76acaddfc24"/>
  </ds:schemaRefs>
</ds:datastoreItem>
</file>

<file path=customXml/itemProps2.xml><?xml version="1.0" encoding="utf-8"?>
<ds:datastoreItem xmlns:ds="http://schemas.openxmlformats.org/officeDocument/2006/customXml" ds:itemID="{830BF2BB-1FA0-486F-8B65-9B8EE562972C}">
  <ds:schemaRefs>
    <ds:schemaRef ds:uri="http://schemas.microsoft.com/sharepoint/v3/contenttype/forms"/>
  </ds:schemaRefs>
</ds:datastoreItem>
</file>

<file path=customXml/itemProps3.xml><?xml version="1.0" encoding="utf-8"?>
<ds:datastoreItem xmlns:ds="http://schemas.openxmlformats.org/officeDocument/2006/customXml" ds:itemID="{C755BDCB-6064-4B78-8C37-60922C0997FA}">
  <ds:schemaRefs>
    <ds:schemaRef ds:uri="http://schemas.openxmlformats.org/officeDocument/2006/bibliography"/>
  </ds:schemaRefs>
</ds:datastoreItem>
</file>

<file path=customXml/itemProps4.xml><?xml version="1.0" encoding="utf-8"?>
<ds:datastoreItem xmlns:ds="http://schemas.openxmlformats.org/officeDocument/2006/customXml" ds:itemID="{87662EC9-F711-4A65-A98D-A143CB201A25}"/>
</file>

<file path=docProps/app.xml><?xml version="1.0" encoding="utf-8"?>
<Properties xmlns="http://schemas.openxmlformats.org/officeDocument/2006/extended-properties" xmlns:vt="http://schemas.openxmlformats.org/officeDocument/2006/docPropsVTypes">
  <Template>Normal</Template>
  <TotalTime>3</TotalTime>
  <Pages>9</Pages>
  <Words>1260</Words>
  <Characters>7184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dc:description/>
  <cp:lastModifiedBy>Steven Mccoombe</cp:lastModifiedBy>
  <cp:revision>2</cp:revision>
  <cp:lastPrinted>2026-07-22T10:47:00Z</cp:lastPrinted>
  <dcterms:created xsi:type="dcterms:W3CDTF">2026-10-13T07:18:00Z</dcterms:created>
  <dcterms:modified xsi:type="dcterms:W3CDTF">2026-10-13T07:18:00Z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0x010100D192DAB28F75A4458A6283DC0AA8BFF3</vt:lpwstr>
  </property>
  <property fmtid="{D5CDD505-2E9C-101B-9397-08002B2CF9AE}" pid="3" name="MediaServiceImageTags">
    <vt:lpwstr/>
  </property>
</Properties>
</file>