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9CC7D8A" w:rsidR="00BE7747" w:rsidRDefault="00D3474F" w:rsidP="007A38CA">
      <w:pPr>
        <w:jc w:val="left"/>
      </w:pPr>
      <w:r>
        <w:rPr>
          <w:noProof/>
        </w:rPr>
        <w:drawing>
          <wp:inline distT="0" distB="0" distL="0" distR="0" wp14:anchorId="72DF8F73" wp14:editId="4CDC9EDD">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7A38CA">
      <w:pPr>
        <w:pStyle w:val="Title"/>
        <w:jc w:val="left"/>
      </w:pPr>
      <w:r>
        <w:t>Planning</w:t>
      </w:r>
    </w:p>
    <w:p w14:paraId="489EE232" w14:textId="7A6D39BD" w:rsidR="00D3474F" w:rsidRDefault="00D3474F" w:rsidP="007A38CA">
      <w:pPr>
        <w:pStyle w:val="Title"/>
        <w:jc w:val="left"/>
      </w:pPr>
      <w:r>
        <w:t>Delegated Officer Report</w:t>
      </w:r>
    </w:p>
    <w:p w14:paraId="6D73FF71" w14:textId="2AA7F333" w:rsidR="003E4005" w:rsidRPr="003E4005" w:rsidRDefault="00EF3E10" w:rsidP="007A38CA">
      <w:pPr>
        <w:pStyle w:val="Heading1"/>
        <w:jc w:val="left"/>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7A38CA">
            <w:pPr>
              <w:pStyle w:val="Heading2"/>
              <w:jc w:val="left"/>
            </w:pPr>
            <w:r>
              <w:t>Application reference:</w:t>
            </w:r>
          </w:p>
        </w:tc>
        <w:tc>
          <w:tcPr>
            <w:tcW w:w="7364" w:type="dxa"/>
          </w:tcPr>
          <w:p w14:paraId="4E3CDE58" w14:textId="40B70785" w:rsidR="00D3474F" w:rsidRDefault="00D3474F" w:rsidP="007A38CA">
            <w:pPr>
              <w:jc w:val="left"/>
            </w:pPr>
            <w:r>
              <w:t>PLA-2026-001544</w:t>
            </w:r>
          </w:p>
        </w:tc>
      </w:tr>
      <w:tr w:rsidR="00D3474F" w14:paraId="27EA33A4" w14:textId="77777777" w:rsidTr="003E4005">
        <w:tc>
          <w:tcPr>
            <w:tcW w:w="2830" w:type="dxa"/>
          </w:tcPr>
          <w:p w14:paraId="4FD2B371" w14:textId="60FEC815" w:rsidR="00D3474F" w:rsidRDefault="00D3474F" w:rsidP="007A38CA">
            <w:pPr>
              <w:pStyle w:val="Heading2"/>
              <w:jc w:val="left"/>
            </w:pPr>
            <w:r>
              <w:t>Application type:</w:t>
            </w:r>
          </w:p>
        </w:tc>
        <w:tc>
          <w:tcPr>
            <w:tcW w:w="7364" w:type="dxa"/>
          </w:tcPr>
          <w:p w14:paraId="613ACD7E" w14:textId="1972433E" w:rsidR="00D3474F" w:rsidRDefault="003E4005" w:rsidP="007A38CA">
            <w:pPr>
              <w:jc w:val="left"/>
            </w:pPr>
            <w:r>
              <w:t>Full planning permission</w:t>
            </w:r>
          </w:p>
        </w:tc>
      </w:tr>
      <w:tr w:rsidR="00D3474F" w14:paraId="2561D808" w14:textId="77777777" w:rsidTr="003E4005">
        <w:tc>
          <w:tcPr>
            <w:tcW w:w="2830" w:type="dxa"/>
          </w:tcPr>
          <w:p w14:paraId="5ECBDE63" w14:textId="04B0D3CD" w:rsidR="00D3474F" w:rsidRDefault="00D3474F" w:rsidP="007A38CA">
            <w:pPr>
              <w:pStyle w:val="Heading2"/>
              <w:jc w:val="left"/>
            </w:pPr>
            <w:r>
              <w:t>Proposal:</w:t>
            </w:r>
          </w:p>
        </w:tc>
        <w:tc>
          <w:tcPr>
            <w:tcW w:w="7364" w:type="dxa"/>
          </w:tcPr>
          <w:p w14:paraId="4E1F6490" w14:textId="781E6EF5" w:rsidR="00D3474F" w:rsidRDefault="00D3474F" w:rsidP="007A38CA">
            <w:pPr>
              <w:jc w:val="left"/>
            </w:pPr>
            <w:r w:rsidRPr="00F01B50">
              <w:rPr>
                <w:rFonts w:cs="Arial"/>
              </w:rPr>
              <w:t>Erection of single-storey rear extension and installation of dormer.</w:t>
            </w:r>
          </w:p>
        </w:tc>
      </w:tr>
      <w:tr w:rsidR="00D3474F" w14:paraId="0DF4F993" w14:textId="77777777" w:rsidTr="003E4005">
        <w:tc>
          <w:tcPr>
            <w:tcW w:w="2830" w:type="dxa"/>
          </w:tcPr>
          <w:p w14:paraId="35A97E14" w14:textId="0073F5A3" w:rsidR="00D3474F" w:rsidRDefault="00D3474F" w:rsidP="007A38CA">
            <w:pPr>
              <w:pStyle w:val="Heading2"/>
              <w:jc w:val="left"/>
            </w:pPr>
            <w:r>
              <w:t>Site address:</w:t>
            </w:r>
          </w:p>
        </w:tc>
        <w:tc>
          <w:tcPr>
            <w:tcW w:w="7364" w:type="dxa"/>
          </w:tcPr>
          <w:p w14:paraId="42569092" w14:textId="4350C106" w:rsidR="00D3474F" w:rsidRDefault="00F96A58" w:rsidP="007A38CA">
            <w:pPr>
              <w:jc w:val="left"/>
            </w:pPr>
            <w:r w:rsidRPr="00F96A58">
              <w:rPr>
                <w:rFonts w:cs="Arial"/>
              </w:rPr>
              <w:t>161 Acomb Street Manchester M14 4DY</w:t>
            </w:r>
          </w:p>
        </w:tc>
      </w:tr>
      <w:tr w:rsidR="00D3474F" w14:paraId="160CDB29" w14:textId="77777777" w:rsidTr="003E4005">
        <w:tc>
          <w:tcPr>
            <w:tcW w:w="2830" w:type="dxa"/>
          </w:tcPr>
          <w:p w14:paraId="0A17294A" w14:textId="7EE0344E" w:rsidR="00D3474F" w:rsidRDefault="00D3474F" w:rsidP="007A38CA">
            <w:pPr>
              <w:pStyle w:val="Heading2"/>
              <w:jc w:val="left"/>
            </w:pPr>
            <w:r>
              <w:t>Ward(s):</w:t>
            </w:r>
          </w:p>
        </w:tc>
        <w:tc>
          <w:tcPr>
            <w:tcW w:w="7364" w:type="dxa"/>
          </w:tcPr>
          <w:p w14:paraId="3597A7CB" w14:textId="3C374AF6" w:rsidR="00D3474F" w:rsidRDefault="00D3474F" w:rsidP="007A38CA">
            <w:pPr>
              <w:jc w:val="left"/>
            </w:pPr>
            <w:r w:rsidRPr="00F01B50">
              <w:rPr>
                <w:rFonts w:cs="Arial"/>
                <w:bCs/>
              </w:rPr>
              <w:t>Moss Side</w:t>
            </w:r>
          </w:p>
        </w:tc>
      </w:tr>
      <w:tr w:rsidR="00D3474F" w14:paraId="63DB7CF0" w14:textId="77777777" w:rsidTr="003E4005">
        <w:tc>
          <w:tcPr>
            <w:tcW w:w="2830" w:type="dxa"/>
          </w:tcPr>
          <w:p w14:paraId="1F268956" w14:textId="66B535B0" w:rsidR="00D3474F" w:rsidRDefault="00D3474F" w:rsidP="007A38CA">
            <w:pPr>
              <w:pStyle w:val="Heading2"/>
              <w:jc w:val="left"/>
            </w:pPr>
            <w:r>
              <w:t>Date application valid:</w:t>
            </w:r>
          </w:p>
        </w:tc>
        <w:tc>
          <w:tcPr>
            <w:tcW w:w="7364" w:type="dxa"/>
          </w:tcPr>
          <w:p w14:paraId="246F7B57" w14:textId="07723B07" w:rsidR="00D3474F" w:rsidRPr="00F01B50" w:rsidRDefault="00D3474F" w:rsidP="007A38CA">
            <w:pPr>
              <w:jc w:val="left"/>
              <w:rPr>
                <w:rFonts w:cs="Arial"/>
                <w:bCs/>
              </w:rPr>
            </w:pPr>
            <w:r w:rsidRPr="00F01B50">
              <w:rPr>
                <w:rFonts w:eastAsia="MS Mincho" w:cs="Arial"/>
              </w:rPr>
              <w:t>25 August 2026</w:t>
            </w:r>
          </w:p>
        </w:tc>
      </w:tr>
      <w:tr w:rsidR="00D3474F" w14:paraId="04C3848B" w14:textId="77777777" w:rsidTr="003E4005">
        <w:tc>
          <w:tcPr>
            <w:tcW w:w="2830" w:type="dxa"/>
          </w:tcPr>
          <w:p w14:paraId="06406128" w14:textId="5719A455" w:rsidR="00D3474F" w:rsidRDefault="00D3474F" w:rsidP="007A38CA">
            <w:pPr>
              <w:pStyle w:val="Heading2"/>
              <w:jc w:val="left"/>
            </w:pPr>
            <w:r>
              <w:t>Applicant name:</w:t>
            </w:r>
          </w:p>
        </w:tc>
        <w:tc>
          <w:tcPr>
            <w:tcW w:w="7364" w:type="dxa"/>
          </w:tcPr>
          <w:p w14:paraId="6EDBE3EA" w14:textId="4F18ACCA" w:rsidR="00D3474F" w:rsidRDefault="00D3474F" w:rsidP="007A38CA">
            <w:pPr>
              <w:jc w:val="left"/>
            </w:pPr>
            <w:r w:rsidRPr="00F01B50">
              <w:rPr>
                <w:rFonts w:cs="Arial"/>
              </w:rPr>
              <w:t>Mr David Hall</w:t>
            </w:r>
          </w:p>
        </w:tc>
      </w:tr>
      <w:tr w:rsidR="00D3474F" w14:paraId="37DC8E80" w14:textId="77777777" w:rsidTr="003E4005">
        <w:tc>
          <w:tcPr>
            <w:tcW w:w="2830" w:type="dxa"/>
          </w:tcPr>
          <w:p w14:paraId="5BC077C6" w14:textId="16FB4A06" w:rsidR="00D3474F" w:rsidRDefault="00D3474F" w:rsidP="007A38CA">
            <w:pPr>
              <w:pStyle w:val="Heading2"/>
              <w:jc w:val="left"/>
            </w:pPr>
            <w:r>
              <w:t>Agent (if any):</w:t>
            </w:r>
          </w:p>
        </w:tc>
        <w:tc>
          <w:tcPr>
            <w:tcW w:w="7364" w:type="dxa"/>
          </w:tcPr>
          <w:p w14:paraId="01BFD860" w14:textId="46B50DC0" w:rsidR="00D3474F" w:rsidRDefault="00D3474F" w:rsidP="007A38CA">
            <w:pPr>
              <w:jc w:val="left"/>
            </w:pPr>
            <w:r>
              <w:t>Mr Benjamin Maguire</w:t>
            </w:r>
          </w:p>
        </w:tc>
      </w:tr>
      <w:tr w:rsidR="00D3474F" w14:paraId="52EB6C0F" w14:textId="77777777" w:rsidTr="003E4005">
        <w:tc>
          <w:tcPr>
            <w:tcW w:w="2830" w:type="dxa"/>
          </w:tcPr>
          <w:p w14:paraId="2353A41D" w14:textId="58FBA9B5" w:rsidR="00D3474F" w:rsidRDefault="00D3474F" w:rsidP="007A38CA">
            <w:pPr>
              <w:pStyle w:val="Heading2"/>
              <w:jc w:val="left"/>
            </w:pPr>
            <w:r>
              <w:t>Case officer:</w:t>
            </w:r>
          </w:p>
        </w:tc>
        <w:tc>
          <w:tcPr>
            <w:tcW w:w="7364" w:type="dxa"/>
          </w:tcPr>
          <w:p w14:paraId="5ACBAE52" w14:textId="3E307E34" w:rsidR="00D3474F" w:rsidRDefault="00D3474F" w:rsidP="007A38CA">
            <w:pPr>
              <w:jc w:val="left"/>
            </w:pPr>
            <w:r>
              <w:t>Joshua Lee</w:t>
            </w:r>
          </w:p>
        </w:tc>
      </w:tr>
      <w:tr w:rsidR="00D3474F" w14:paraId="69D3D59F" w14:textId="77777777" w:rsidTr="003E4005">
        <w:tc>
          <w:tcPr>
            <w:tcW w:w="2830" w:type="dxa"/>
          </w:tcPr>
          <w:p w14:paraId="2C9D6759" w14:textId="72BBF8A4" w:rsidR="00D3474F" w:rsidRDefault="00D3474F" w:rsidP="007A38CA">
            <w:pPr>
              <w:pStyle w:val="Heading2"/>
              <w:jc w:val="left"/>
            </w:pPr>
            <w:r>
              <w:t>Recommendation:</w:t>
            </w:r>
          </w:p>
        </w:tc>
        <w:tc>
          <w:tcPr>
            <w:tcW w:w="7364" w:type="dxa"/>
          </w:tcPr>
          <w:p w14:paraId="2D928A63" w14:textId="43C90F7E" w:rsidR="00D3474F" w:rsidRDefault="002536EB" w:rsidP="007A38CA">
            <w:pPr>
              <w:jc w:val="left"/>
            </w:pPr>
            <w:r>
              <w:t>Refuse</w:t>
            </w:r>
          </w:p>
        </w:tc>
      </w:tr>
      <w:tr w:rsidR="00D3474F" w14:paraId="20373EF8" w14:textId="77777777" w:rsidTr="003E4005">
        <w:tc>
          <w:tcPr>
            <w:tcW w:w="2830" w:type="dxa"/>
          </w:tcPr>
          <w:p w14:paraId="7EB736E9" w14:textId="6D91E2F3" w:rsidR="00D3474F" w:rsidRDefault="00D3474F" w:rsidP="007A38CA">
            <w:pPr>
              <w:pStyle w:val="Heading2"/>
              <w:jc w:val="left"/>
            </w:pPr>
            <w:r>
              <w:t>Date of recommendation:</w:t>
            </w:r>
          </w:p>
        </w:tc>
        <w:tc>
          <w:tcPr>
            <w:tcW w:w="7364" w:type="dxa"/>
          </w:tcPr>
          <w:p w14:paraId="55C2760A" w14:textId="4302D964" w:rsidR="00D3474F" w:rsidRDefault="002536EB" w:rsidP="007A38CA">
            <w:pPr>
              <w:jc w:val="left"/>
            </w:pPr>
            <w:r>
              <w:t>12 Oct 2026</w:t>
            </w:r>
          </w:p>
        </w:tc>
      </w:tr>
    </w:tbl>
    <w:p w14:paraId="23B7E3AB" w14:textId="1473FD33" w:rsidR="00EF3E10" w:rsidRDefault="00EF3E10" w:rsidP="007A38CA">
      <w:pPr>
        <w:pStyle w:val="Heading1"/>
        <w:jc w:val="left"/>
      </w:pPr>
      <w:r>
        <w:t>Description of site, building and/or area</w:t>
      </w:r>
    </w:p>
    <w:p w14:paraId="417C37D3" w14:textId="7EADBB71" w:rsidR="00793F0A" w:rsidRDefault="00793F0A" w:rsidP="00793F0A">
      <w:r w:rsidRPr="00793F0A">
        <w:t>The application property is a two-storey mid-terrace dwellinghouse of traditional red brick construction, forming part of a row of late Edwardian terraced properties. The dwelling features a ground-floor bay window, a pitched roof concealed behind a parapet, and a small enclosed front forecourt bounded by a low brick wall. To the rear the property features an original two storey outrigger and further single storey rear extension</w:t>
      </w:r>
      <w:r w:rsidR="00663D71">
        <w:t xml:space="preserve"> (noted as ‘storage’ on existing plans)</w:t>
      </w:r>
      <w:r w:rsidRPr="00793F0A">
        <w:t xml:space="preserve"> within a small rear yard.</w:t>
      </w:r>
    </w:p>
    <w:p w14:paraId="6F238652" w14:textId="046EEC14" w:rsidR="00845B59" w:rsidRDefault="00845B59" w:rsidP="00793F0A">
      <w:r w:rsidRPr="00845B59">
        <w:t xml:space="preserve">The property is currently occupied as a House in Multiple Occupation (HMO). The applicant has </w:t>
      </w:r>
      <w:r w:rsidR="009349DD">
        <w:t xml:space="preserve">stated </w:t>
      </w:r>
      <w:r w:rsidRPr="00845B59">
        <w:t>that the property has been in</w:t>
      </w:r>
      <w:r w:rsidR="009349DD">
        <w:t xml:space="preserve"> </w:t>
      </w:r>
      <w:proofErr w:type="gramStart"/>
      <w:r w:rsidR="009349DD">
        <w:t>a</w:t>
      </w:r>
      <w:proofErr w:type="gramEnd"/>
      <w:r w:rsidRPr="00845B59">
        <w:t xml:space="preserve"> HMO use for more than 10 years; however, there is no formal planning decision or Certificate of Lawfulness confirming the lawful planning use of the property as an HMO.</w:t>
      </w:r>
    </w:p>
    <w:p w14:paraId="295A8960" w14:textId="6D33968D" w:rsidR="00793F0A" w:rsidRDefault="00793F0A" w:rsidP="00793F0A">
      <w:pPr>
        <w:rPr>
          <w:b/>
          <w:bCs/>
          <w:caps/>
        </w:rPr>
      </w:pPr>
      <w:r w:rsidRPr="00793F0A">
        <w:t>The property is within a within a dense row of traditional late Edwardian terraced housing in a mostly residential part of the Moss Side ward of Manchester. The area has a high density of House of Multiple Occupation dwellings.</w:t>
      </w:r>
    </w:p>
    <w:p w14:paraId="0B49DAD0" w14:textId="0F6824DA" w:rsidR="00EF3E10" w:rsidRDefault="00EF3E10" w:rsidP="00793F0A">
      <w:pPr>
        <w:pStyle w:val="Heading1"/>
        <w:jc w:val="left"/>
      </w:pPr>
      <w:r>
        <w:lastRenderedPageBreak/>
        <w:t>Description of development</w:t>
      </w:r>
    </w:p>
    <w:p w14:paraId="46C4DC88" w14:textId="1947606B" w:rsidR="00C35CCD" w:rsidRDefault="00C35CCD" w:rsidP="00C35CCD">
      <w:r>
        <w:t>The proposal comprises the erection of a single-storey rear extension and a rear dormer roof extension to the existing two-storey mid-terraced dwellinghouse. The development would be accompanied by internal alterations and reconfiguration of the existing accommodation across the ground, first and second floor levels.</w:t>
      </w:r>
    </w:p>
    <w:p w14:paraId="094D387C" w14:textId="183577B0" w:rsidR="00C35CCD" w:rsidRDefault="00C35CCD" w:rsidP="00C35CCD">
      <w:r>
        <w:t>The single-storey rear extension would project approximately 5.1m beyond the existing rear elevation and extend across the majority of the width of the property. The extension would have an approximate eaves height of 2.4m and a maximum height of 2.9m.</w:t>
      </w:r>
      <w:r w:rsidR="00E6232D">
        <w:t xml:space="preserve"> It would replace an existing rear extension.</w:t>
      </w:r>
    </w:p>
    <w:p w14:paraId="727CA6D0" w14:textId="77777777" w:rsidR="00C35CCD" w:rsidRDefault="00C35CCD" w:rsidP="00C35CCD">
      <w:r>
        <w:t>A rear dormer extension is proposed within the rear roof slope. The dormer would occupy much of the rear roof plane and would provide additional accommodation within the roofspace, including a rear-facing dormer window.</w:t>
      </w:r>
    </w:p>
    <w:p w14:paraId="33187B7D" w14:textId="77777777" w:rsidR="00C35CCD" w:rsidRDefault="00C35CCD" w:rsidP="00C35CCD">
      <w:r>
        <w:t>The front elevation would remain largely unaltered, with the existing fenestration retained. New windows and doors are proposed within the rear elevation to serve the extension and roofspace accommodation. The submitted plans indicate that new windows and external doors would comprise uPVC double-glazed units.</w:t>
      </w:r>
    </w:p>
    <w:p w14:paraId="4D46430D" w14:textId="77777777" w:rsidR="00C35CCD" w:rsidRDefault="00C35CCD" w:rsidP="00C35CCD">
      <w:r>
        <w:t xml:space="preserve">The application form confirms that the external materials would be selected to match the existing dwellinghouse. Private rear amenity space would be retained following completion of the development. </w:t>
      </w:r>
    </w:p>
    <w:p w14:paraId="50D4F46D" w14:textId="7C1E420E" w:rsidR="004161DA" w:rsidRDefault="004161DA" w:rsidP="00C35CCD">
      <w:r>
        <w:t>The proposal would allow the increase from 5 to 6 bedrooms.</w:t>
      </w:r>
    </w:p>
    <w:p w14:paraId="1B871EFE" w14:textId="5DD204A3" w:rsidR="00C35CCD" w:rsidRDefault="002C459D" w:rsidP="00C35CCD">
      <w:r w:rsidRPr="008B27C2">
        <w:rPr>
          <w:b/>
          <w:bCs/>
          <w:caps/>
          <w:noProof/>
        </w:rPr>
        <w:drawing>
          <wp:inline distT="0" distB="0" distL="0" distR="0" wp14:anchorId="5D08D162" wp14:editId="77782320">
            <wp:extent cx="6479540" cy="4569460"/>
            <wp:effectExtent l="19050" t="19050" r="16510" b="21590"/>
            <wp:docPr id="1604049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049784" name=""/>
                    <pic:cNvPicPr/>
                  </pic:nvPicPr>
                  <pic:blipFill>
                    <a:blip r:embed="rId11"/>
                    <a:stretch>
                      <a:fillRect/>
                    </a:stretch>
                  </pic:blipFill>
                  <pic:spPr>
                    <a:xfrm>
                      <a:off x="0" y="0"/>
                      <a:ext cx="6479540" cy="4569460"/>
                    </a:xfrm>
                    <a:prstGeom prst="rect">
                      <a:avLst/>
                    </a:prstGeom>
                    <a:ln>
                      <a:solidFill>
                        <a:schemeClr val="tx1"/>
                      </a:solidFill>
                    </a:ln>
                  </pic:spPr>
                </pic:pic>
              </a:graphicData>
            </a:graphic>
          </wp:inline>
        </w:drawing>
      </w:r>
    </w:p>
    <w:p w14:paraId="34BA2FA9" w14:textId="29BCC4E0" w:rsidR="00C35CCD" w:rsidRPr="00C35CCD" w:rsidRDefault="00C35CCD" w:rsidP="00C35CCD">
      <w:r>
        <w:t>Figure 1. Proposed floor plans</w:t>
      </w:r>
    </w:p>
    <w:p w14:paraId="364A3D62" w14:textId="7F2C3818" w:rsidR="00EF3E10" w:rsidRDefault="00EF3E10" w:rsidP="007A38CA">
      <w:pPr>
        <w:pStyle w:val="Heading1"/>
        <w:jc w:val="left"/>
      </w:pPr>
      <w:r>
        <w:lastRenderedPageBreak/>
        <w:t>Relevant planning history</w:t>
      </w:r>
    </w:p>
    <w:p w14:paraId="3C81B7DC" w14:textId="77777777" w:rsidR="005A7FFA" w:rsidRDefault="005A7FFA" w:rsidP="005A7FFA">
      <w:pPr>
        <w:pStyle w:val="Heading2"/>
      </w:pPr>
      <w:r w:rsidRPr="00C003CC">
        <w:t xml:space="preserve">Lawful development: Proposed </w:t>
      </w:r>
      <w:r>
        <w:t>- 145379/LP/2026</w:t>
      </w:r>
    </w:p>
    <w:p w14:paraId="5777571A" w14:textId="77777777" w:rsidR="005A7FFA" w:rsidRDefault="005A7FFA" w:rsidP="005A7FFA">
      <w:r>
        <w:t>Single-storey extension and dormer roof extension both to the rear.</w:t>
      </w:r>
    </w:p>
    <w:p w14:paraId="185554AB" w14:textId="77777777" w:rsidR="005A7FFA" w:rsidRDefault="005A7FFA" w:rsidP="005A7FFA">
      <w:r>
        <w:t>Refuse - 2026-04-17</w:t>
      </w:r>
    </w:p>
    <w:p w14:paraId="1C9DDDE5" w14:textId="77777777" w:rsidR="005A7FFA" w:rsidRPr="007822BC" w:rsidRDefault="005A7FFA" w:rsidP="005A7FFA">
      <w:pPr>
        <w:pStyle w:val="ListParagraph"/>
        <w:numPr>
          <w:ilvl w:val="0"/>
          <w:numId w:val="6"/>
        </w:numPr>
        <w:rPr>
          <w:b/>
          <w:bCs/>
          <w:i/>
          <w:iCs/>
          <w:caps/>
        </w:rPr>
      </w:pPr>
      <w:r w:rsidRPr="007822BC">
        <w:rPr>
          <w:i/>
          <w:iCs/>
        </w:rPr>
        <w:t xml:space="preserve">Rear Extension A.1(f)(i) - The proposed single storey rear extension as shown on the submitted drawings does not constitute permitted development. It fails to meet the requirements of Part 1, Schedule 2, A.1(f)(i) of the Town and Country Planning (General Permitted Development) (England) Order 2015 (as amended). The proposed extension would have a rearward projection of 5.1 metres and exceeds the 3 metre rearward projection permitted by A.1(f)(i). </w:t>
      </w:r>
    </w:p>
    <w:p w14:paraId="1A0E49C8" w14:textId="3CD41217" w:rsidR="005A7FFA" w:rsidRPr="005A7FFA" w:rsidRDefault="005A7FFA" w:rsidP="005A7FFA">
      <w:pPr>
        <w:pStyle w:val="ListParagraph"/>
        <w:numPr>
          <w:ilvl w:val="0"/>
          <w:numId w:val="6"/>
        </w:numPr>
        <w:rPr>
          <w:b/>
          <w:bCs/>
          <w:i/>
          <w:iCs/>
          <w:caps/>
        </w:rPr>
      </w:pPr>
      <w:r w:rsidRPr="007822BC">
        <w:rPr>
          <w:i/>
          <w:iCs/>
        </w:rPr>
        <w:t>Refuse Dormer B.2(c) (i) and (ii) - The proposed rear dormer as shown on the submitted drawings does not constitute permitted development. It fails to meet the requirements of Part 1, Schedule 2, B.2(c)(i) and (ii) of the Town and Country Planning (General Permitted Development) (England) Order 2015 (as amended). There is no indication as to whether the proposed window would be obscurely glazed and the opening part of the window is less than 1.7 metres above the floor of the room in which it would be installed.</w:t>
      </w:r>
    </w:p>
    <w:p w14:paraId="2A6AA701" w14:textId="1115ED58" w:rsidR="00EF3E10" w:rsidRDefault="00C62A32" w:rsidP="007A38CA">
      <w:pPr>
        <w:pStyle w:val="Heading1"/>
        <w:jc w:val="left"/>
      </w:pPr>
      <w:r>
        <w:t>Consultation, notification and publicity responses</w:t>
      </w:r>
    </w:p>
    <w:p w14:paraId="3875D271" w14:textId="0D264C4D" w:rsidR="00C62A32" w:rsidRPr="00C62A32" w:rsidRDefault="00C62A32" w:rsidP="007A38CA">
      <w:pPr>
        <w:pStyle w:val="Heading2"/>
        <w:jc w:val="left"/>
      </w:pPr>
      <w:r>
        <w:t>Consultations</w:t>
      </w:r>
    </w:p>
    <w:p w14:paraId="7A54C6EA" w14:textId="440747CF" w:rsidR="00EF3E10" w:rsidRDefault="00D21FE0" w:rsidP="00D21FE0">
      <w:pPr>
        <w:pStyle w:val="Heading3"/>
      </w:pPr>
      <w:r>
        <w:t>Environment</w:t>
      </w:r>
      <w:r w:rsidR="002536EB">
        <w:t>al Health</w:t>
      </w:r>
    </w:p>
    <w:p w14:paraId="4022E8D4" w14:textId="1CF0DD78" w:rsidR="002536EB" w:rsidRPr="002536EB" w:rsidRDefault="002536EB" w:rsidP="002536EB">
      <w:r>
        <w:t>No response received.</w:t>
      </w:r>
    </w:p>
    <w:p w14:paraId="27148C79" w14:textId="28953BFC" w:rsidR="00D21FE0" w:rsidRDefault="00D21FE0" w:rsidP="00D21FE0">
      <w:pPr>
        <w:pStyle w:val="Heading3"/>
      </w:pPr>
      <w:r>
        <w:t>Highway Services</w:t>
      </w:r>
    </w:p>
    <w:p w14:paraId="258FE66A" w14:textId="5D726025" w:rsidR="00DA01EC" w:rsidRPr="00DA01EC" w:rsidRDefault="00DA01EC" w:rsidP="00DA01EC">
      <w:r w:rsidRPr="00DA01EC">
        <w:t>Highway Services reviewed the proposal and raised no objection. They advised that the development is unlikely to result in a significant increase in vehicular trips or raise capacity concerns on the local highway network. The site is located in a sustainable location with access to public transport. Highway Services recommended the provision of secure and sheltered cycle parking and suggested a planning condition requiring details of cycle parking facilities to be submitted and approved</w:t>
      </w:r>
      <w:r>
        <w:t>.</w:t>
      </w:r>
    </w:p>
    <w:p w14:paraId="3574B3A1" w14:textId="3A634C95" w:rsidR="00EF3E10" w:rsidRDefault="00C62A32" w:rsidP="007A38CA">
      <w:pPr>
        <w:pStyle w:val="Heading2"/>
        <w:jc w:val="left"/>
      </w:pPr>
      <w:r>
        <w:t>Notifications and publicity</w:t>
      </w:r>
    </w:p>
    <w:p w14:paraId="213DF2C5" w14:textId="2CDE1478" w:rsidR="00EF3E10" w:rsidRDefault="00D21FE0" w:rsidP="00D21FE0">
      <w:pPr>
        <w:pStyle w:val="Heading3"/>
      </w:pPr>
      <w:r>
        <w:t>Neighbour letters</w:t>
      </w:r>
    </w:p>
    <w:p w14:paraId="18F16A0F" w14:textId="77777777" w:rsidR="00D21FE0" w:rsidRPr="00314682" w:rsidRDefault="00D21FE0" w:rsidP="0095245A">
      <w:pPr>
        <w:pStyle w:val="Heading1"/>
        <w:rPr>
          <w:rFonts w:ascii="Arial" w:eastAsia="Times New Roman" w:hAnsi="Arial" w:cs="Arial"/>
        </w:rPr>
      </w:pPr>
      <w:r w:rsidRPr="00314682">
        <w:rPr>
          <w:rFonts w:ascii="Arial" w:eastAsia="Times New Roman" w:hAnsi="Arial" w:cs="Arial"/>
        </w:rPr>
        <w:t>Relevant policies</w:t>
      </w:r>
    </w:p>
    <w:p w14:paraId="007E8A82" w14:textId="77777777" w:rsidR="00D21FE0" w:rsidRPr="00CE5D86" w:rsidRDefault="00D21FE0" w:rsidP="00CE5D86">
      <w:pPr>
        <w:rPr>
          <w:rFonts w:eastAsia="Times New Roman"/>
        </w:rPr>
      </w:pPr>
      <w:r w:rsidRPr="00CE5D86">
        <w:rPr>
          <w:rFonts w:eastAsia="Times New Roman"/>
        </w:rPr>
        <w:t>In accordance with Section 38(6) of the Planning and Compulsory Purchase Act 2004, planning applications must be determined in accordance with the statutory development plan unless material considerations indicate otherwise.</w:t>
      </w:r>
    </w:p>
    <w:p w14:paraId="11945487" w14:textId="77777777" w:rsidR="00D21FE0" w:rsidRPr="00CE5D86" w:rsidRDefault="00D21FE0" w:rsidP="00CE5D86">
      <w:pPr>
        <w:rPr>
          <w:rFonts w:eastAsia="Times New Roman"/>
        </w:rPr>
      </w:pPr>
      <w:r w:rsidRPr="00CE5D86">
        <w:rPr>
          <w:rFonts w:eastAsia="Times New Roman"/>
        </w:rPr>
        <w:t>For Manchester, the development plan comprises:</w:t>
      </w:r>
    </w:p>
    <w:p w14:paraId="027B7479" w14:textId="77777777" w:rsidR="00D21FE0" w:rsidRPr="00CE5D86" w:rsidRDefault="00D21FE0" w:rsidP="00D21FE0">
      <w:pPr>
        <w:pStyle w:val="ListParagraph"/>
        <w:numPr>
          <w:ilvl w:val="0"/>
          <w:numId w:val="8"/>
        </w:numPr>
        <w:rPr>
          <w:rFonts w:eastAsia="Times New Roman"/>
        </w:rPr>
      </w:pPr>
      <w:r w:rsidRPr="00CE5D86">
        <w:rPr>
          <w:rFonts w:eastAsia="Times New Roman"/>
        </w:rPr>
        <w:t>The Manchester Core Strategy (2012 to 2027);</w:t>
      </w:r>
    </w:p>
    <w:p w14:paraId="552FF220" w14:textId="77777777" w:rsidR="00D21FE0" w:rsidRPr="00CE5D86" w:rsidRDefault="00D21FE0" w:rsidP="00D21FE0">
      <w:pPr>
        <w:pStyle w:val="ListParagraph"/>
        <w:numPr>
          <w:ilvl w:val="0"/>
          <w:numId w:val="8"/>
        </w:numPr>
        <w:rPr>
          <w:rFonts w:eastAsia="Times New Roman"/>
        </w:rPr>
      </w:pPr>
      <w:r w:rsidRPr="00CE5D86">
        <w:rPr>
          <w:rFonts w:eastAsia="Times New Roman"/>
        </w:rPr>
        <w:t>Saved policies of the Manchester Unitary Development Plan (UDP); and</w:t>
      </w:r>
    </w:p>
    <w:p w14:paraId="2B68A59C" w14:textId="77777777" w:rsidR="00D21FE0" w:rsidRPr="00CE5D86" w:rsidRDefault="00D21FE0" w:rsidP="00D21FE0">
      <w:pPr>
        <w:pStyle w:val="ListParagraph"/>
        <w:numPr>
          <w:ilvl w:val="0"/>
          <w:numId w:val="8"/>
        </w:numPr>
        <w:rPr>
          <w:rFonts w:eastAsia="Times New Roman"/>
        </w:rPr>
      </w:pPr>
      <w:r w:rsidRPr="00CE5D86">
        <w:rPr>
          <w:rFonts w:eastAsia="Times New Roman"/>
        </w:rPr>
        <w:t>The Places for Everyone Joint Development Plan Document (2022 to 2039).</w:t>
      </w:r>
    </w:p>
    <w:p w14:paraId="68A61AA6" w14:textId="77777777" w:rsidR="00D21FE0" w:rsidRPr="00CE5D86" w:rsidRDefault="00D21FE0" w:rsidP="00CE5D86">
      <w:pPr>
        <w:rPr>
          <w:rFonts w:eastAsia="Times New Roman"/>
        </w:rPr>
      </w:pPr>
      <w:r w:rsidRPr="00CE5D86">
        <w:rPr>
          <w:rFonts w:eastAsia="Times New Roman"/>
        </w:rPr>
        <w:t>These documents are considered up to date and are afforded significant weight in the determination of planning applications. Relevant Supplementary Planning Documents (SPDs) and other adopted guidance may also be material considerations.</w:t>
      </w:r>
    </w:p>
    <w:p w14:paraId="47594F5C" w14:textId="77777777" w:rsidR="00D21FE0" w:rsidRDefault="00D21FE0" w:rsidP="00CE5D86">
      <w:pPr>
        <w:rPr>
          <w:rFonts w:eastAsia="Times New Roman"/>
        </w:rPr>
      </w:pPr>
      <w:r w:rsidRPr="00837B15">
        <w:rPr>
          <w:rFonts w:eastAsia="Times New Roman"/>
        </w:rPr>
        <w:t>The National Planning Policy Framework sets out the government’s policies for plan-making and for making decisions on development proposals in England. It is a material consideration of critical importance in both contexts.</w:t>
      </w:r>
    </w:p>
    <w:p w14:paraId="48465C54" w14:textId="77777777" w:rsidR="00D21FE0" w:rsidRPr="00CE5D86" w:rsidRDefault="00D21FE0" w:rsidP="00CE5D86">
      <w:pPr>
        <w:rPr>
          <w:rFonts w:eastAsia="Times New Roman"/>
        </w:rPr>
      </w:pPr>
      <w:r w:rsidRPr="00CE5D86">
        <w:rPr>
          <w:rFonts w:eastAsia="Times New Roman"/>
        </w:rPr>
        <w:t xml:space="preserve">Where relevant, the Council is required to give special regard to the desirability of preserving listed buildings and their settings, and special attention to the desirability of preserving or enhancing the </w:t>
      </w:r>
      <w:r w:rsidRPr="00CE5D86">
        <w:rPr>
          <w:rFonts w:eastAsia="Times New Roman"/>
        </w:rPr>
        <w:lastRenderedPageBreak/>
        <w:t>character or appearance of conservation areas, in accordance with the Planning (Listed Buildings and Conservation Areas) Act 1990.</w:t>
      </w:r>
    </w:p>
    <w:p w14:paraId="4E50EF89" w14:textId="77777777" w:rsidR="00D21FE0" w:rsidRPr="00E3146F" w:rsidRDefault="00D21FE0" w:rsidP="00E3146F">
      <w:pPr>
        <w:rPr>
          <w:rFonts w:eastAsia="Times New Roman"/>
        </w:rPr>
      </w:pPr>
      <w:r w:rsidRPr="00CE5D86">
        <w:rPr>
          <w:rFonts w:eastAsia="Times New Roman"/>
        </w:rPr>
        <w:t>The policies and guidance referred to below are considered the most relevant to the scale, nature and location of the proposed development.</w:t>
      </w:r>
    </w:p>
    <w:p w14:paraId="12023FA0" w14:textId="31D9D433" w:rsidR="00D21FE0" w:rsidRPr="00314682" w:rsidRDefault="00D21FE0" w:rsidP="00D21FE0">
      <w:pPr>
        <w:numPr>
          <w:ilvl w:val="0"/>
          <w:numId w:val="7"/>
        </w:numPr>
        <w:spacing w:after="0" w:line="240" w:lineRule="auto"/>
        <w:rPr>
          <w:rFonts w:ascii="Arial" w:eastAsia="Times New Roman" w:hAnsi="Arial" w:cs="Arial"/>
        </w:rPr>
      </w:pPr>
      <w:hyperlink r:id="rId12" w:history="1">
        <w:r w:rsidRPr="00314682">
          <w:rPr>
            <w:rFonts w:ascii="Arial" w:eastAsia="Times New Roman" w:hAnsi="Arial" w:cs="Arial"/>
            <w:color w:val="467886"/>
            <w:u w:val="single"/>
          </w:rPr>
          <w:t>The Manchester Core Strategy Development Plan Document 2012-2027</w:t>
        </w:r>
      </w:hyperlink>
    </w:p>
    <w:p w14:paraId="7B4FA354" w14:textId="77777777" w:rsidR="00D21FE0" w:rsidRPr="00314682" w:rsidRDefault="00D21FE0" w:rsidP="00D21FE0">
      <w:pPr>
        <w:numPr>
          <w:ilvl w:val="1"/>
          <w:numId w:val="7"/>
        </w:numPr>
        <w:spacing w:after="0" w:line="240" w:lineRule="auto"/>
        <w:rPr>
          <w:rFonts w:ascii="Arial" w:eastAsia="Times New Roman" w:hAnsi="Arial" w:cs="Arial"/>
        </w:rPr>
      </w:pPr>
      <w:r w:rsidRPr="00314682">
        <w:rPr>
          <w:rFonts w:ascii="Arial" w:eastAsia="Times New Roman" w:hAnsi="Arial" w:cs="Arial"/>
        </w:rPr>
        <w:t>Development Management and Planning Obligations</w:t>
      </w:r>
    </w:p>
    <w:p w14:paraId="3939D549" w14:textId="77777777" w:rsidR="00D21FE0" w:rsidRPr="00314682" w:rsidRDefault="00D21FE0" w:rsidP="00D21FE0">
      <w:pPr>
        <w:numPr>
          <w:ilvl w:val="2"/>
          <w:numId w:val="7"/>
        </w:numPr>
        <w:spacing w:after="0" w:line="240" w:lineRule="auto"/>
        <w:rPr>
          <w:rFonts w:ascii="Arial" w:eastAsia="Times New Roman" w:hAnsi="Arial" w:cs="Arial"/>
        </w:rPr>
      </w:pPr>
      <w:r w:rsidRPr="00314682">
        <w:rPr>
          <w:rFonts w:ascii="Arial" w:eastAsia="Times New Roman" w:hAnsi="Arial" w:cs="Arial"/>
        </w:rPr>
        <w:t xml:space="preserve">DM 1 - Development Management </w:t>
      </w:r>
    </w:p>
    <w:p w14:paraId="0AC501EE" w14:textId="77777777" w:rsidR="00D21FE0" w:rsidRPr="00314682" w:rsidRDefault="00D21FE0" w:rsidP="00D21FE0">
      <w:pPr>
        <w:numPr>
          <w:ilvl w:val="1"/>
          <w:numId w:val="7"/>
        </w:numPr>
        <w:spacing w:after="0" w:line="240" w:lineRule="auto"/>
        <w:rPr>
          <w:rFonts w:ascii="Arial" w:eastAsia="Times New Roman" w:hAnsi="Arial" w:cs="Arial"/>
        </w:rPr>
      </w:pPr>
      <w:r w:rsidRPr="00314682">
        <w:rPr>
          <w:rFonts w:ascii="Arial" w:eastAsia="Times New Roman" w:hAnsi="Arial" w:cs="Arial"/>
        </w:rPr>
        <w:t>Objective 1 - Spatial Principles</w:t>
      </w:r>
    </w:p>
    <w:p w14:paraId="42E7C1AE" w14:textId="77777777" w:rsidR="00D21FE0" w:rsidRPr="00314682" w:rsidRDefault="00D21FE0" w:rsidP="00D21FE0">
      <w:pPr>
        <w:numPr>
          <w:ilvl w:val="2"/>
          <w:numId w:val="7"/>
        </w:numPr>
        <w:spacing w:after="0" w:line="240" w:lineRule="auto"/>
        <w:rPr>
          <w:rFonts w:ascii="Arial" w:eastAsia="Times New Roman" w:hAnsi="Arial" w:cs="Arial"/>
        </w:rPr>
      </w:pPr>
      <w:r w:rsidRPr="00314682">
        <w:rPr>
          <w:rFonts w:ascii="Arial" w:eastAsia="Times New Roman" w:hAnsi="Arial" w:cs="Arial"/>
        </w:rPr>
        <w:t>SP 1 - Spatial Principles (Partially replaced by PfE Policy JP-S 1)</w:t>
      </w:r>
    </w:p>
    <w:p w14:paraId="2D55D6FA" w14:textId="77777777" w:rsidR="00D21FE0" w:rsidRPr="00314682" w:rsidRDefault="00D21FE0" w:rsidP="00D21FE0">
      <w:pPr>
        <w:numPr>
          <w:ilvl w:val="1"/>
          <w:numId w:val="7"/>
        </w:numPr>
        <w:spacing w:after="0" w:line="240" w:lineRule="auto"/>
        <w:rPr>
          <w:rFonts w:ascii="Arial" w:eastAsia="Times New Roman" w:hAnsi="Arial" w:cs="Arial"/>
        </w:rPr>
      </w:pPr>
      <w:r w:rsidRPr="00314682">
        <w:rPr>
          <w:rFonts w:ascii="Arial" w:eastAsia="Times New Roman" w:hAnsi="Arial" w:cs="Arial"/>
        </w:rPr>
        <w:t>Objective 3  - Housing</w:t>
      </w:r>
    </w:p>
    <w:p w14:paraId="51250CC9" w14:textId="77777777" w:rsidR="00D21FE0" w:rsidRPr="00314682" w:rsidRDefault="00D21FE0" w:rsidP="00D21FE0">
      <w:pPr>
        <w:numPr>
          <w:ilvl w:val="2"/>
          <w:numId w:val="7"/>
        </w:numPr>
        <w:spacing w:after="0" w:line="240" w:lineRule="auto"/>
        <w:rPr>
          <w:rFonts w:ascii="Arial" w:eastAsia="Times New Roman" w:hAnsi="Arial" w:cs="Arial"/>
        </w:rPr>
      </w:pPr>
      <w:r w:rsidRPr="00314682">
        <w:rPr>
          <w:rFonts w:ascii="Arial" w:eastAsia="Times New Roman" w:hAnsi="Arial" w:cs="Arial"/>
        </w:rPr>
        <w:t>H 1 – Overall Housing Provision (Partially replaced by PfE Policy JP-H 1)</w:t>
      </w:r>
    </w:p>
    <w:p w14:paraId="24663D73" w14:textId="77777777" w:rsidR="00D21FE0" w:rsidRPr="00314682" w:rsidRDefault="00D21FE0" w:rsidP="00D21FE0">
      <w:pPr>
        <w:numPr>
          <w:ilvl w:val="2"/>
          <w:numId w:val="7"/>
        </w:numPr>
        <w:spacing w:after="0" w:line="240" w:lineRule="auto"/>
        <w:rPr>
          <w:rFonts w:ascii="Arial" w:eastAsia="Times New Roman" w:hAnsi="Arial" w:cs="Arial"/>
        </w:rPr>
      </w:pPr>
      <w:r w:rsidRPr="00314682">
        <w:rPr>
          <w:rFonts w:ascii="Arial" w:eastAsia="Times New Roman" w:hAnsi="Arial" w:cs="Arial"/>
        </w:rPr>
        <w:t>H 5 – Central Manchester</w:t>
      </w:r>
    </w:p>
    <w:p w14:paraId="45B73C0E" w14:textId="77777777" w:rsidR="00D21FE0" w:rsidRPr="00314682" w:rsidRDefault="00D21FE0" w:rsidP="00D21FE0">
      <w:pPr>
        <w:numPr>
          <w:ilvl w:val="2"/>
          <w:numId w:val="7"/>
        </w:numPr>
        <w:spacing w:after="0" w:line="240" w:lineRule="auto"/>
        <w:rPr>
          <w:rFonts w:ascii="Arial" w:eastAsia="Times New Roman" w:hAnsi="Arial" w:cs="Arial"/>
        </w:rPr>
      </w:pPr>
      <w:r w:rsidRPr="00314682">
        <w:rPr>
          <w:rFonts w:ascii="Arial" w:eastAsia="Times New Roman" w:hAnsi="Arial" w:cs="Arial"/>
        </w:rPr>
        <w:t>H 11 – Houses in Multiple Occupation</w:t>
      </w:r>
    </w:p>
    <w:p w14:paraId="2A633283" w14:textId="77777777" w:rsidR="00D21FE0" w:rsidRPr="00314682" w:rsidRDefault="00D21FE0" w:rsidP="00D21FE0">
      <w:pPr>
        <w:numPr>
          <w:ilvl w:val="1"/>
          <w:numId w:val="7"/>
        </w:numPr>
        <w:spacing w:after="0" w:line="240" w:lineRule="auto"/>
        <w:rPr>
          <w:rFonts w:ascii="Arial" w:eastAsia="Times New Roman" w:hAnsi="Arial" w:cs="Arial"/>
        </w:rPr>
      </w:pPr>
      <w:r w:rsidRPr="00314682">
        <w:rPr>
          <w:rFonts w:ascii="Arial" w:eastAsia="Times New Roman" w:hAnsi="Arial" w:cs="Arial"/>
        </w:rPr>
        <w:t>Objective 6 Environment</w:t>
      </w:r>
    </w:p>
    <w:p w14:paraId="3A95A4FB" w14:textId="77777777" w:rsidR="00D21FE0" w:rsidRPr="00314682" w:rsidRDefault="00D21FE0" w:rsidP="00D21FE0">
      <w:pPr>
        <w:numPr>
          <w:ilvl w:val="2"/>
          <w:numId w:val="7"/>
        </w:numPr>
        <w:spacing w:after="0" w:line="240" w:lineRule="auto"/>
        <w:rPr>
          <w:rFonts w:ascii="Arial" w:eastAsia="Times New Roman" w:hAnsi="Arial" w:cs="Arial"/>
        </w:rPr>
      </w:pPr>
      <w:r w:rsidRPr="00314682">
        <w:rPr>
          <w:rFonts w:ascii="Arial" w:eastAsia="Times New Roman" w:hAnsi="Arial" w:cs="Arial"/>
        </w:rPr>
        <w:t>EN 1 - Design Principles and Strategic Character Areas</w:t>
      </w:r>
    </w:p>
    <w:p w14:paraId="707273E8" w14:textId="77777777" w:rsidR="00D21FE0" w:rsidRPr="00314682" w:rsidRDefault="00D21FE0" w:rsidP="00D21FE0">
      <w:pPr>
        <w:numPr>
          <w:ilvl w:val="2"/>
          <w:numId w:val="7"/>
        </w:numPr>
        <w:spacing w:after="0" w:line="240" w:lineRule="auto"/>
        <w:rPr>
          <w:rFonts w:ascii="Arial" w:eastAsia="Times New Roman" w:hAnsi="Arial" w:cs="Arial"/>
        </w:rPr>
      </w:pPr>
      <w:r w:rsidRPr="00314682">
        <w:rPr>
          <w:rFonts w:ascii="Arial" w:eastAsia="Times New Roman" w:hAnsi="Arial" w:cs="Arial"/>
        </w:rPr>
        <w:t>EN 19 – Waste</w:t>
      </w:r>
    </w:p>
    <w:p w14:paraId="2615FFA9" w14:textId="19CCCFDD" w:rsidR="00D21FE0" w:rsidRPr="00314682" w:rsidRDefault="00D21FE0" w:rsidP="00D21FE0">
      <w:pPr>
        <w:numPr>
          <w:ilvl w:val="0"/>
          <w:numId w:val="7"/>
        </w:numPr>
        <w:spacing w:line="240" w:lineRule="auto"/>
        <w:contextualSpacing/>
        <w:rPr>
          <w:rFonts w:ascii="Arial" w:eastAsia="Times New Roman" w:hAnsi="Arial" w:cs="Arial"/>
        </w:rPr>
      </w:pPr>
      <w:hyperlink r:id="rId13" w:history="1">
        <w:r w:rsidRPr="00314682">
          <w:rPr>
            <w:rFonts w:ascii="Arial" w:eastAsia="Times New Roman" w:hAnsi="Arial" w:cs="Arial"/>
            <w:color w:val="467886"/>
            <w:u w:val="single"/>
          </w:rPr>
          <w:t>Guide to development in Manchester</w:t>
        </w:r>
      </w:hyperlink>
      <w:r w:rsidRPr="00314682">
        <w:rPr>
          <w:rFonts w:ascii="Arial" w:eastAsia="Times New Roman" w:hAnsi="Arial" w:cs="Arial"/>
        </w:rPr>
        <w:t xml:space="preserve"> - supplementary planning document and planning guidance, April 2007</w:t>
      </w:r>
    </w:p>
    <w:p w14:paraId="0C348B3B" w14:textId="19AF687F" w:rsidR="00D21FE0" w:rsidRPr="00314682" w:rsidRDefault="00D21FE0" w:rsidP="00D21FE0">
      <w:pPr>
        <w:numPr>
          <w:ilvl w:val="0"/>
          <w:numId w:val="7"/>
        </w:numPr>
        <w:spacing w:after="0" w:line="240" w:lineRule="auto"/>
        <w:rPr>
          <w:rFonts w:ascii="Arial" w:eastAsia="Times New Roman" w:hAnsi="Arial" w:cs="Arial"/>
        </w:rPr>
      </w:pPr>
      <w:hyperlink r:id="rId14" w:history="1">
        <w:r w:rsidRPr="00314682">
          <w:rPr>
            <w:rFonts w:ascii="Arial" w:eastAsia="Times New Roman" w:hAnsi="Arial" w:cs="Arial"/>
            <w:color w:val="467886"/>
            <w:u w:val="single"/>
          </w:rPr>
          <w:t>Extant Unitary Development Plan (UDP)</w:t>
        </w:r>
      </w:hyperlink>
      <w:r w:rsidRPr="00314682">
        <w:rPr>
          <w:rFonts w:ascii="Arial" w:eastAsia="Times New Roman" w:hAnsi="Arial" w:cs="Arial"/>
        </w:rPr>
        <w:t xml:space="preserve"> – </w:t>
      </w:r>
    </w:p>
    <w:p w14:paraId="56CE0916" w14:textId="77777777" w:rsidR="00D21FE0" w:rsidRPr="00314682" w:rsidRDefault="00D21FE0" w:rsidP="00D21FE0">
      <w:pPr>
        <w:numPr>
          <w:ilvl w:val="1"/>
          <w:numId w:val="7"/>
        </w:numPr>
        <w:spacing w:after="0" w:line="240" w:lineRule="auto"/>
        <w:rPr>
          <w:rFonts w:ascii="Arial" w:eastAsia="Times New Roman" w:hAnsi="Arial" w:cs="Arial"/>
        </w:rPr>
      </w:pPr>
      <w:r w:rsidRPr="00314682">
        <w:rPr>
          <w:rFonts w:ascii="Arial" w:eastAsia="Times New Roman" w:hAnsi="Arial" w:cs="Arial"/>
        </w:rPr>
        <w:t>Citywide Development Control Policies</w:t>
      </w:r>
    </w:p>
    <w:p w14:paraId="393F62BD" w14:textId="77777777" w:rsidR="00D21FE0" w:rsidRPr="00314682" w:rsidRDefault="00D21FE0" w:rsidP="00D21FE0">
      <w:pPr>
        <w:numPr>
          <w:ilvl w:val="2"/>
          <w:numId w:val="7"/>
        </w:numPr>
        <w:spacing w:after="0" w:line="240" w:lineRule="auto"/>
        <w:rPr>
          <w:rFonts w:ascii="Arial" w:eastAsia="Times New Roman" w:hAnsi="Arial" w:cs="Arial"/>
        </w:rPr>
      </w:pPr>
      <w:r w:rsidRPr="00314682">
        <w:rPr>
          <w:rFonts w:ascii="Arial" w:eastAsia="Times New Roman" w:hAnsi="Arial" w:cs="Arial"/>
        </w:rPr>
        <w:t xml:space="preserve">DC1 - Residential extensions </w:t>
      </w:r>
    </w:p>
    <w:p w14:paraId="3BB21F88" w14:textId="77777777" w:rsidR="00D21FE0" w:rsidRDefault="00D21FE0" w:rsidP="00D21FE0">
      <w:pPr>
        <w:numPr>
          <w:ilvl w:val="2"/>
          <w:numId w:val="7"/>
        </w:numPr>
        <w:spacing w:after="0" w:line="240" w:lineRule="auto"/>
        <w:rPr>
          <w:rFonts w:ascii="Arial" w:eastAsia="Times New Roman" w:hAnsi="Arial" w:cs="Arial"/>
        </w:rPr>
      </w:pPr>
      <w:r w:rsidRPr="00314682">
        <w:rPr>
          <w:rFonts w:ascii="Arial" w:eastAsia="Times New Roman" w:hAnsi="Arial" w:cs="Arial"/>
        </w:rPr>
        <w:t xml:space="preserve">DC26 - Development and Noise </w:t>
      </w:r>
    </w:p>
    <w:p w14:paraId="116D640B" w14:textId="77777777" w:rsidR="001451B4" w:rsidRPr="00314682" w:rsidRDefault="001451B4" w:rsidP="001451B4">
      <w:pPr>
        <w:numPr>
          <w:ilvl w:val="0"/>
          <w:numId w:val="7"/>
        </w:numPr>
        <w:spacing w:after="0" w:line="240" w:lineRule="auto"/>
        <w:rPr>
          <w:rFonts w:ascii="Arial" w:eastAsia="Times New Roman" w:hAnsi="Arial" w:cs="Arial"/>
        </w:rPr>
      </w:pPr>
    </w:p>
    <w:p w14:paraId="216C35BB" w14:textId="6D9D7353" w:rsidR="00D21FE0" w:rsidRPr="00314682" w:rsidRDefault="00D21FE0" w:rsidP="00D21FE0">
      <w:pPr>
        <w:numPr>
          <w:ilvl w:val="0"/>
          <w:numId w:val="7"/>
        </w:numPr>
        <w:spacing w:after="0" w:line="240" w:lineRule="auto"/>
        <w:rPr>
          <w:rFonts w:ascii="Arial" w:eastAsia="Times New Roman" w:hAnsi="Arial" w:cs="Arial"/>
        </w:rPr>
      </w:pPr>
      <w:hyperlink r:id="rId15" w:history="1">
        <w:r w:rsidRPr="00314682">
          <w:rPr>
            <w:rFonts w:ascii="Arial" w:eastAsia="Times New Roman" w:hAnsi="Arial" w:cs="Arial"/>
            <w:color w:val="467886"/>
            <w:u w:val="single"/>
          </w:rPr>
          <w:t>Places for Everyone Plan</w:t>
        </w:r>
      </w:hyperlink>
      <w:r w:rsidRPr="00314682">
        <w:rPr>
          <w:rFonts w:ascii="Arial" w:eastAsia="Times New Roman" w:hAnsi="Arial" w:cs="Arial"/>
          <w:u w:val="single"/>
        </w:rPr>
        <w:t xml:space="preserve"> Joint Development Plan Document 2022-2039- </w:t>
      </w:r>
    </w:p>
    <w:p w14:paraId="4F560760" w14:textId="77777777" w:rsidR="00D21FE0" w:rsidRPr="00314682" w:rsidRDefault="00D21FE0" w:rsidP="00D21FE0">
      <w:pPr>
        <w:numPr>
          <w:ilvl w:val="1"/>
          <w:numId w:val="7"/>
        </w:numPr>
        <w:spacing w:after="0" w:line="240" w:lineRule="auto"/>
        <w:rPr>
          <w:rFonts w:ascii="Arial" w:eastAsia="Times New Roman" w:hAnsi="Arial" w:cs="Arial"/>
        </w:rPr>
      </w:pPr>
      <w:r w:rsidRPr="00314682">
        <w:rPr>
          <w:rFonts w:ascii="Arial" w:eastAsia="Times New Roman" w:hAnsi="Arial" w:cs="Arial"/>
        </w:rPr>
        <w:t>Strategy</w:t>
      </w:r>
    </w:p>
    <w:p w14:paraId="580B5729" w14:textId="77777777" w:rsidR="00D21FE0" w:rsidRPr="00314682" w:rsidRDefault="00D21FE0" w:rsidP="00D21FE0">
      <w:pPr>
        <w:numPr>
          <w:ilvl w:val="2"/>
          <w:numId w:val="7"/>
        </w:numPr>
        <w:spacing w:after="0" w:line="240" w:lineRule="auto"/>
        <w:rPr>
          <w:rFonts w:ascii="Arial" w:eastAsia="Times New Roman" w:hAnsi="Arial" w:cs="Arial"/>
        </w:rPr>
      </w:pPr>
      <w:r w:rsidRPr="00314682">
        <w:rPr>
          <w:rFonts w:ascii="Arial" w:eastAsia="Times New Roman" w:hAnsi="Arial" w:cs="Arial"/>
        </w:rPr>
        <w:t>JP-Strat5: Inner Areas</w:t>
      </w:r>
    </w:p>
    <w:p w14:paraId="5CFBB420" w14:textId="77777777" w:rsidR="00D21FE0" w:rsidRPr="00314682" w:rsidRDefault="00D21FE0" w:rsidP="00D21FE0">
      <w:pPr>
        <w:numPr>
          <w:ilvl w:val="1"/>
          <w:numId w:val="7"/>
        </w:numPr>
        <w:spacing w:after="0" w:line="240" w:lineRule="auto"/>
        <w:rPr>
          <w:rFonts w:ascii="Arial" w:eastAsia="Times New Roman" w:hAnsi="Arial" w:cs="Arial"/>
        </w:rPr>
      </w:pPr>
      <w:r w:rsidRPr="00314682">
        <w:rPr>
          <w:rFonts w:ascii="Arial" w:eastAsia="Times New Roman" w:hAnsi="Arial" w:cs="Arial"/>
        </w:rPr>
        <w:t>Sustainable and Resilient Places</w:t>
      </w:r>
    </w:p>
    <w:p w14:paraId="3F3A06EB" w14:textId="77777777" w:rsidR="00D21FE0" w:rsidRPr="00314682" w:rsidRDefault="00D21FE0" w:rsidP="00D21FE0">
      <w:pPr>
        <w:numPr>
          <w:ilvl w:val="2"/>
          <w:numId w:val="7"/>
        </w:numPr>
        <w:spacing w:after="0" w:line="240" w:lineRule="auto"/>
        <w:rPr>
          <w:rFonts w:ascii="Arial" w:eastAsia="Times New Roman" w:hAnsi="Arial" w:cs="Arial"/>
        </w:rPr>
      </w:pPr>
      <w:r w:rsidRPr="00314682">
        <w:rPr>
          <w:rFonts w:ascii="Arial" w:eastAsia="Times New Roman" w:hAnsi="Arial" w:cs="Arial"/>
        </w:rPr>
        <w:t>JP-S1: Sustainable Development</w:t>
      </w:r>
    </w:p>
    <w:p w14:paraId="442C414F" w14:textId="77777777" w:rsidR="00D21FE0" w:rsidRPr="00314682" w:rsidRDefault="00D21FE0" w:rsidP="00D21FE0">
      <w:pPr>
        <w:numPr>
          <w:ilvl w:val="1"/>
          <w:numId w:val="7"/>
        </w:numPr>
        <w:spacing w:after="0" w:line="240" w:lineRule="auto"/>
        <w:rPr>
          <w:rFonts w:ascii="Arial" w:eastAsia="Times New Roman" w:hAnsi="Arial" w:cs="Arial"/>
        </w:rPr>
      </w:pPr>
      <w:r w:rsidRPr="00314682">
        <w:rPr>
          <w:rFonts w:ascii="Arial" w:eastAsia="Times New Roman" w:hAnsi="Arial" w:cs="Arial"/>
        </w:rPr>
        <w:t>Places for People</w:t>
      </w:r>
    </w:p>
    <w:p w14:paraId="70D24CDC" w14:textId="77777777" w:rsidR="00D21FE0" w:rsidRPr="00314682" w:rsidRDefault="00D21FE0" w:rsidP="00D21FE0">
      <w:pPr>
        <w:numPr>
          <w:ilvl w:val="2"/>
          <w:numId w:val="7"/>
        </w:numPr>
        <w:spacing w:after="0" w:line="240" w:lineRule="auto"/>
        <w:rPr>
          <w:rFonts w:ascii="Arial" w:eastAsia="Times New Roman" w:hAnsi="Arial" w:cs="Arial"/>
        </w:rPr>
      </w:pPr>
      <w:r w:rsidRPr="00314682">
        <w:rPr>
          <w:rFonts w:ascii="Arial" w:eastAsia="Times New Roman" w:hAnsi="Arial" w:cs="Arial"/>
        </w:rPr>
        <w:t>JP-P1 Sustainable Places</w:t>
      </w:r>
    </w:p>
    <w:bookmarkStart w:id="0" w:name="_Hlk216937325"/>
    <w:p w14:paraId="2397AFD4" w14:textId="557E6FCE" w:rsidR="00D21FE0" w:rsidRPr="00314682" w:rsidRDefault="00D21FE0" w:rsidP="00D21FE0">
      <w:pPr>
        <w:numPr>
          <w:ilvl w:val="0"/>
          <w:numId w:val="7"/>
        </w:numPr>
        <w:spacing w:after="0" w:line="240" w:lineRule="auto"/>
        <w:rPr>
          <w:rFonts w:ascii="Arial" w:eastAsia="Times New Roman" w:hAnsi="Arial" w:cs="Arial"/>
        </w:rPr>
      </w:pPr>
      <w:r w:rsidRPr="00314682">
        <w:rPr>
          <w:rFonts w:ascii="Arial" w:eastAsia="Times New Roman" w:hAnsi="Arial" w:cs="Arial"/>
          <w:color w:val="467886"/>
          <w:u w:val="single"/>
        </w:rPr>
        <w:fldChar w:fldCharType="begin"/>
      </w:r>
      <w:r w:rsidRPr="00314682">
        <w:rPr>
          <w:rFonts w:ascii="Arial" w:eastAsia="Times New Roman" w:hAnsi="Arial" w:cs="Arial"/>
          <w:color w:val="467886"/>
          <w:u w:val="single"/>
        </w:rPr>
        <w:instrText>HYPERLINK "https://www.gov.uk/guidance/national-planning-policy-framework"</w:instrText>
      </w:r>
      <w:r w:rsidRPr="00314682">
        <w:rPr>
          <w:rFonts w:ascii="Arial" w:eastAsia="Times New Roman" w:hAnsi="Arial" w:cs="Arial"/>
          <w:color w:val="467886"/>
          <w:u w:val="single"/>
        </w:rPr>
      </w:r>
      <w:r w:rsidRPr="00314682">
        <w:rPr>
          <w:rFonts w:ascii="Arial" w:eastAsia="Times New Roman" w:hAnsi="Arial" w:cs="Arial"/>
          <w:color w:val="467886"/>
          <w:u w:val="single"/>
        </w:rPr>
        <w:fldChar w:fldCharType="separate"/>
      </w:r>
      <w:r w:rsidRPr="00314682">
        <w:rPr>
          <w:rStyle w:val="Hyperlink"/>
          <w:rFonts w:ascii="Arial" w:eastAsia="Times New Roman" w:hAnsi="Arial" w:cs="Arial"/>
        </w:rPr>
        <w:t>National Planning Policy Framework – August 2026</w:t>
      </w:r>
      <w:r w:rsidRPr="00314682">
        <w:rPr>
          <w:rFonts w:ascii="Arial" w:eastAsia="Times New Roman" w:hAnsi="Arial" w:cs="Arial"/>
          <w:color w:val="467886"/>
          <w:u w:val="single"/>
        </w:rPr>
        <w:fldChar w:fldCharType="end"/>
      </w:r>
      <w:r w:rsidRPr="00314682">
        <w:rPr>
          <w:rFonts w:ascii="Arial" w:eastAsia="Times New Roman" w:hAnsi="Arial" w:cs="Arial"/>
        </w:rPr>
        <w:t xml:space="preserve"> - National Development Management Policies (NDMPs)</w:t>
      </w:r>
    </w:p>
    <w:p w14:paraId="0D41286B" w14:textId="77777777" w:rsidR="00D21FE0" w:rsidRPr="00314682" w:rsidRDefault="00D21FE0" w:rsidP="00D21FE0">
      <w:pPr>
        <w:numPr>
          <w:ilvl w:val="1"/>
          <w:numId w:val="7"/>
        </w:numPr>
        <w:spacing w:after="0" w:line="240" w:lineRule="auto"/>
        <w:rPr>
          <w:rFonts w:ascii="Arial" w:eastAsia="Times New Roman" w:hAnsi="Arial" w:cs="Arial"/>
        </w:rPr>
      </w:pPr>
      <w:r w:rsidRPr="00314682">
        <w:rPr>
          <w:rFonts w:ascii="Arial" w:eastAsia="Times New Roman" w:hAnsi="Arial" w:cs="Arial"/>
        </w:rPr>
        <w:t>Procedural Policies</w:t>
      </w:r>
    </w:p>
    <w:p w14:paraId="17B84087" w14:textId="77777777" w:rsidR="00D21FE0" w:rsidRPr="00314682" w:rsidRDefault="00D21FE0" w:rsidP="00D21FE0">
      <w:pPr>
        <w:numPr>
          <w:ilvl w:val="2"/>
          <w:numId w:val="7"/>
        </w:numPr>
        <w:spacing w:after="0" w:line="240" w:lineRule="auto"/>
        <w:rPr>
          <w:rFonts w:ascii="Arial" w:eastAsia="Times New Roman" w:hAnsi="Arial" w:cs="Arial"/>
        </w:rPr>
      </w:pPr>
      <w:r w:rsidRPr="00314682">
        <w:rPr>
          <w:rFonts w:ascii="Arial" w:eastAsia="Times New Roman" w:hAnsi="Arial" w:cs="Arial"/>
        </w:rPr>
        <w:t>Chapter 3 – Decision-making policies</w:t>
      </w:r>
    </w:p>
    <w:p w14:paraId="1290429A" w14:textId="77777777" w:rsidR="00D21FE0" w:rsidRPr="00314682" w:rsidRDefault="00D21FE0" w:rsidP="00D21FE0">
      <w:pPr>
        <w:numPr>
          <w:ilvl w:val="3"/>
          <w:numId w:val="7"/>
        </w:numPr>
        <w:spacing w:after="0" w:line="240" w:lineRule="auto"/>
        <w:rPr>
          <w:rFonts w:ascii="Arial" w:eastAsia="Times New Roman" w:hAnsi="Arial" w:cs="Arial"/>
        </w:rPr>
      </w:pPr>
      <w:r w:rsidRPr="00314682">
        <w:rPr>
          <w:rFonts w:ascii="Arial" w:eastAsia="Times New Roman" w:hAnsi="Arial" w:cs="Arial"/>
        </w:rPr>
        <w:t>DM1: Preparing development proposals</w:t>
      </w:r>
    </w:p>
    <w:p w14:paraId="4357D354" w14:textId="77777777" w:rsidR="00D21FE0" w:rsidRPr="00314682" w:rsidRDefault="00D21FE0" w:rsidP="00D21FE0">
      <w:pPr>
        <w:numPr>
          <w:ilvl w:val="3"/>
          <w:numId w:val="7"/>
        </w:numPr>
        <w:spacing w:after="0" w:line="240" w:lineRule="auto"/>
        <w:rPr>
          <w:rFonts w:ascii="Arial" w:eastAsia="Times New Roman" w:hAnsi="Arial" w:cs="Arial"/>
        </w:rPr>
      </w:pPr>
      <w:r w:rsidRPr="00314682">
        <w:rPr>
          <w:rFonts w:ascii="Arial" w:eastAsia="Times New Roman" w:hAnsi="Arial" w:cs="Arial"/>
        </w:rPr>
        <w:t>DM2: Information requirements</w:t>
      </w:r>
    </w:p>
    <w:p w14:paraId="1B531F00" w14:textId="77777777" w:rsidR="00D21FE0" w:rsidRPr="00314682" w:rsidRDefault="00D21FE0" w:rsidP="00D21FE0">
      <w:pPr>
        <w:numPr>
          <w:ilvl w:val="3"/>
          <w:numId w:val="7"/>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1D74BD10" w14:textId="77777777" w:rsidR="00D21FE0" w:rsidRPr="00314682" w:rsidRDefault="00D21FE0" w:rsidP="00D21FE0">
      <w:pPr>
        <w:numPr>
          <w:ilvl w:val="3"/>
          <w:numId w:val="7"/>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2285CCA1" w14:textId="77777777" w:rsidR="00D21FE0" w:rsidRPr="00314682" w:rsidRDefault="00D21FE0" w:rsidP="00D21FE0">
      <w:pPr>
        <w:numPr>
          <w:ilvl w:val="3"/>
          <w:numId w:val="7"/>
        </w:numPr>
        <w:spacing w:after="0" w:line="240" w:lineRule="auto"/>
        <w:rPr>
          <w:rFonts w:ascii="Arial" w:eastAsia="Times New Roman" w:hAnsi="Arial" w:cs="Arial"/>
        </w:rPr>
      </w:pPr>
      <w:r w:rsidRPr="00314682">
        <w:rPr>
          <w:rFonts w:ascii="Arial" w:eastAsia="Times New Roman" w:hAnsi="Arial" w:cs="Arial"/>
        </w:rPr>
        <w:t>DM7: Relationship with other regulatory regimes</w:t>
      </w:r>
    </w:p>
    <w:p w14:paraId="64B51307" w14:textId="77777777" w:rsidR="00D21FE0" w:rsidRPr="00314682" w:rsidRDefault="00D21FE0" w:rsidP="00D21FE0">
      <w:pPr>
        <w:numPr>
          <w:ilvl w:val="3"/>
          <w:numId w:val="7"/>
        </w:numPr>
        <w:spacing w:after="0" w:line="240" w:lineRule="auto"/>
        <w:rPr>
          <w:rFonts w:ascii="Arial" w:eastAsia="Times New Roman" w:hAnsi="Arial" w:cs="Arial"/>
        </w:rPr>
      </w:pPr>
      <w:r w:rsidRPr="00314682">
        <w:rPr>
          <w:rFonts w:ascii="Arial" w:eastAsia="Times New Roman" w:hAnsi="Arial" w:cs="Arial"/>
        </w:rPr>
        <w:t>DM10: Removal of national permitted development rights</w:t>
      </w:r>
    </w:p>
    <w:p w14:paraId="11A7E308" w14:textId="77777777" w:rsidR="00D21FE0" w:rsidRPr="00314682" w:rsidRDefault="00D21FE0" w:rsidP="00D21FE0">
      <w:pPr>
        <w:numPr>
          <w:ilvl w:val="1"/>
          <w:numId w:val="7"/>
        </w:numPr>
        <w:spacing w:after="0" w:line="240" w:lineRule="auto"/>
        <w:rPr>
          <w:rFonts w:ascii="Arial" w:eastAsia="Times New Roman" w:hAnsi="Arial" w:cs="Arial"/>
        </w:rPr>
      </w:pPr>
      <w:r w:rsidRPr="00314682">
        <w:rPr>
          <w:rFonts w:ascii="Arial" w:eastAsia="Times New Roman" w:hAnsi="Arial" w:cs="Arial"/>
        </w:rPr>
        <w:t>Sustainable Development</w:t>
      </w:r>
    </w:p>
    <w:p w14:paraId="70BD58E2" w14:textId="77777777" w:rsidR="00D21FE0" w:rsidRPr="00314682" w:rsidRDefault="00D21FE0" w:rsidP="00D21FE0">
      <w:pPr>
        <w:numPr>
          <w:ilvl w:val="2"/>
          <w:numId w:val="7"/>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2B07D209" w14:textId="77777777" w:rsidR="00D21FE0" w:rsidRPr="00314682" w:rsidRDefault="00D21FE0" w:rsidP="00D21FE0">
      <w:pPr>
        <w:numPr>
          <w:ilvl w:val="3"/>
          <w:numId w:val="7"/>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66116787" w14:textId="77777777" w:rsidR="00D21FE0" w:rsidRPr="00314682" w:rsidRDefault="00D21FE0" w:rsidP="00D21FE0">
      <w:pPr>
        <w:numPr>
          <w:ilvl w:val="3"/>
          <w:numId w:val="7"/>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p>
    <w:p w14:paraId="3162D37F" w14:textId="77777777" w:rsidR="00D21FE0" w:rsidRPr="00314682" w:rsidRDefault="00D21FE0" w:rsidP="00D21FE0">
      <w:pPr>
        <w:numPr>
          <w:ilvl w:val="1"/>
          <w:numId w:val="7"/>
        </w:numPr>
        <w:spacing w:after="0" w:line="240" w:lineRule="auto"/>
        <w:rPr>
          <w:rFonts w:ascii="Arial" w:eastAsia="Times New Roman" w:hAnsi="Arial" w:cs="Arial"/>
        </w:rPr>
      </w:pPr>
      <w:r w:rsidRPr="00314682">
        <w:rPr>
          <w:rFonts w:ascii="Arial" w:eastAsia="Times New Roman" w:hAnsi="Arial" w:cs="Arial"/>
        </w:rPr>
        <w:t>Delivering homes and supporting growth</w:t>
      </w:r>
    </w:p>
    <w:p w14:paraId="37588ADA" w14:textId="77777777" w:rsidR="00D21FE0" w:rsidRPr="00314682" w:rsidRDefault="00D21FE0" w:rsidP="00D21FE0">
      <w:pPr>
        <w:numPr>
          <w:ilvl w:val="2"/>
          <w:numId w:val="7"/>
        </w:numPr>
        <w:spacing w:after="0" w:line="240" w:lineRule="auto"/>
        <w:rPr>
          <w:rFonts w:ascii="Arial" w:eastAsia="Times New Roman" w:hAnsi="Arial" w:cs="Arial"/>
        </w:rPr>
      </w:pPr>
      <w:r w:rsidRPr="00314682">
        <w:rPr>
          <w:rFonts w:ascii="Arial" w:eastAsia="Times New Roman" w:hAnsi="Arial" w:cs="Arial"/>
        </w:rPr>
        <w:t>Chapter 6 - Delivering a sufficient supply of homes</w:t>
      </w:r>
    </w:p>
    <w:p w14:paraId="5AD38D42" w14:textId="77777777" w:rsidR="00D21FE0" w:rsidRPr="00314682" w:rsidRDefault="00D21FE0" w:rsidP="00D21FE0">
      <w:pPr>
        <w:numPr>
          <w:ilvl w:val="3"/>
          <w:numId w:val="7"/>
        </w:numPr>
        <w:spacing w:after="0" w:line="240" w:lineRule="auto"/>
        <w:rPr>
          <w:rFonts w:ascii="Arial" w:eastAsia="Times New Roman" w:hAnsi="Arial" w:cs="Arial"/>
        </w:rPr>
      </w:pPr>
      <w:r w:rsidRPr="00314682">
        <w:rPr>
          <w:rFonts w:ascii="Arial" w:eastAsia="Times New Roman" w:hAnsi="Arial" w:cs="Arial"/>
        </w:rPr>
        <w:t>HO7: Meeting the need for homes</w:t>
      </w:r>
    </w:p>
    <w:p w14:paraId="080C24F4" w14:textId="77777777" w:rsidR="00D21FE0" w:rsidRPr="00314682" w:rsidRDefault="00D21FE0" w:rsidP="00D21FE0">
      <w:pPr>
        <w:numPr>
          <w:ilvl w:val="1"/>
          <w:numId w:val="7"/>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54F24BD4" w14:textId="77777777" w:rsidR="00D21FE0" w:rsidRPr="00314682" w:rsidRDefault="00D21FE0" w:rsidP="00D21FE0">
      <w:pPr>
        <w:numPr>
          <w:ilvl w:val="2"/>
          <w:numId w:val="7"/>
        </w:numPr>
        <w:spacing w:after="0" w:line="240" w:lineRule="auto"/>
        <w:rPr>
          <w:rFonts w:ascii="Arial" w:eastAsia="Times New Roman" w:hAnsi="Arial" w:cs="Arial"/>
        </w:rPr>
      </w:pPr>
      <w:r w:rsidRPr="00314682">
        <w:rPr>
          <w:rFonts w:ascii="Arial" w:eastAsia="Times New Roman" w:hAnsi="Arial" w:cs="Arial"/>
        </w:rPr>
        <w:t>Chapter 12 - Making effective use of land</w:t>
      </w:r>
    </w:p>
    <w:p w14:paraId="6E53DDC7" w14:textId="77777777" w:rsidR="00D21FE0" w:rsidRPr="00314682" w:rsidRDefault="00D21FE0" w:rsidP="00D21FE0">
      <w:pPr>
        <w:numPr>
          <w:ilvl w:val="3"/>
          <w:numId w:val="7"/>
        </w:numPr>
        <w:spacing w:after="0" w:line="240" w:lineRule="auto"/>
        <w:rPr>
          <w:rFonts w:ascii="Arial" w:eastAsia="Times New Roman" w:hAnsi="Arial" w:cs="Arial"/>
        </w:rPr>
      </w:pPr>
      <w:r w:rsidRPr="00314682">
        <w:rPr>
          <w:rFonts w:ascii="Arial" w:eastAsia="Times New Roman" w:hAnsi="Arial" w:cs="Arial"/>
        </w:rPr>
        <w:t xml:space="preserve">L2: Making effective use of land  </w:t>
      </w:r>
    </w:p>
    <w:p w14:paraId="22700C5D" w14:textId="77777777" w:rsidR="00D21FE0" w:rsidRPr="00314682" w:rsidRDefault="00D21FE0" w:rsidP="00D21FE0">
      <w:pPr>
        <w:numPr>
          <w:ilvl w:val="3"/>
          <w:numId w:val="7"/>
        </w:numPr>
        <w:spacing w:after="0" w:line="240" w:lineRule="auto"/>
        <w:rPr>
          <w:rFonts w:ascii="Arial" w:eastAsia="Times New Roman" w:hAnsi="Arial" w:cs="Arial"/>
        </w:rPr>
      </w:pPr>
      <w:r w:rsidRPr="00314682">
        <w:rPr>
          <w:rFonts w:ascii="Arial" w:eastAsia="Times New Roman" w:hAnsi="Arial" w:cs="Arial"/>
        </w:rPr>
        <w:t xml:space="preserve">L3: Achieving appropriate densities  </w:t>
      </w:r>
    </w:p>
    <w:p w14:paraId="6898B9D8" w14:textId="77777777" w:rsidR="00D21FE0" w:rsidRPr="00314682" w:rsidRDefault="00D21FE0" w:rsidP="00D21FE0">
      <w:pPr>
        <w:numPr>
          <w:ilvl w:val="2"/>
          <w:numId w:val="7"/>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461E8B5B" w14:textId="77777777" w:rsidR="00D21FE0" w:rsidRPr="00314682" w:rsidRDefault="00D21FE0" w:rsidP="00D21FE0">
      <w:pPr>
        <w:numPr>
          <w:ilvl w:val="3"/>
          <w:numId w:val="7"/>
        </w:numPr>
        <w:spacing w:after="0" w:line="240" w:lineRule="auto"/>
        <w:rPr>
          <w:rFonts w:ascii="Arial" w:eastAsia="Times New Roman" w:hAnsi="Arial" w:cs="Arial"/>
        </w:rPr>
      </w:pPr>
      <w:r w:rsidRPr="00314682">
        <w:rPr>
          <w:rFonts w:ascii="Arial" w:eastAsia="Times New Roman" w:hAnsi="Arial" w:cs="Arial"/>
        </w:rPr>
        <w:t>DP3: Key principles for well-designed places</w:t>
      </w:r>
    </w:p>
    <w:p w14:paraId="1CD4ED84" w14:textId="77777777" w:rsidR="00D21FE0" w:rsidRDefault="00D21FE0" w:rsidP="00D21FE0">
      <w:pPr>
        <w:numPr>
          <w:ilvl w:val="3"/>
          <w:numId w:val="7"/>
        </w:numPr>
        <w:spacing w:after="0" w:line="240" w:lineRule="auto"/>
        <w:rPr>
          <w:rFonts w:ascii="Arial" w:eastAsia="Times New Roman" w:hAnsi="Arial" w:cs="Arial"/>
        </w:rPr>
      </w:pPr>
      <w:r w:rsidRPr="00314682">
        <w:rPr>
          <w:rFonts w:ascii="Arial" w:eastAsia="Times New Roman" w:hAnsi="Arial" w:cs="Arial"/>
        </w:rPr>
        <w:t>DP4: The design process</w:t>
      </w:r>
    </w:p>
    <w:p w14:paraId="3AD2964F" w14:textId="77777777" w:rsidR="001451B4" w:rsidRPr="00314682" w:rsidRDefault="001451B4" w:rsidP="001451B4">
      <w:pPr>
        <w:spacing w:after="0" w:line="240" w:lineRule="auto"/>
        <w:rPr>
          <w:rFonts w:ascii="Arial" w:eastAsia="Times New Roman" w:hAnsi="Arial" w:cs="Arial"/>
        </w:rPr>
      </w:pPr>
    </w:p>
    <w:bookmarkEnd w:id="0"/>
    <w:p w14:paraId="594BCC1D" w14:textId="61DE16D6" w:rsidR="00EF3E10" w:rsidRDefault="00EF3E10" w:rsidP="007A38CA">
      <w:pPr>
        <w:pStyle w:val="Heading1"/>
        <w:jc w:val="left"/>
      </w:pPr>
      <w:r>
        <w:lastRenderedPageBreak/>
        <w:t>Assessment</w:t>
      </w:r>
    </w:p>
    <w:p w14:paraId="2D149A62" w14:textId="77777777" w:rsidR="003C2867" w:rsidRDefault="003C2867" w:rsidP="00CD1E82">
      <w:pPr>
        <w:pStyle w:val="Heading2"/>
      </w:pPr>
      <w:bookmarkStart w:id="1" w:name="_Toc143157931"/>
      <w:r w:rsidRPr="00314682">
        <w:t>Principle of Development</w:t>
      </w:r>
    </w:p>
    <w:p w14:paraId="1454A473" w14:textId="2D664625" w:rsidR="005C2A4F" w:rsidRDefault="005C2A4F" w:rsidP="005C2A4F">
      <w:bookmarkStart w:id="2" w:name="_Toc143157933"/>
      <w:bookmarkEnd w:id="1"/>
      <w:r>
        <w:t xml:space="preserve">The application property is currently occupied as a House in Multiple Occupation (HMO). The applicant has </w:t>
      </w:r>
      <w:r w:rsidR="009349DD">
        <w:t>stated</w:t>
      </w:r>
      <w:r>
        <w:t xml:space="preserve"> that the property has been used as an HMO for more than 10 years. However, there is no formal planning permission or Certificate of Lawfulness confirming the lawful planning use of the property as an HMO.</w:t>
      </w:r>
    </w:p>
    <w:p w14:paraId="39EFD8A2" w14:textId="010AF386" w:rsidR="005C2A4F" w:rsidRDefault="005C2A4F" w:rsidP="005C2A4F">
      <w:r>
        <w:t>The current application does not seek to regularise or formally establish the lawfulness of the existing HMO use. Accordingly, no determination is made through this application as to whether the existing HMO use is lawful for planning purposes. For the purposes of assessing the development now proposed, however, regard is had to the factual circumstances described by the applicant, namely that the property is presently occupied as an HMO accommodating five residents and that the proposed extensions and internal alterations would facilitate an increase to six bedrooms/residents.</w:t>
      </w:r>
    </w:p>
    <w:p w14:paraId="1F914A8D" w14:textId="6B88F7F6" w:rsidR="00245DCE" w:rsidRDefault="00245DCE" w:rsidP="005C2A4F">
      <w:r w:rsidRPr="00245DCE">
        <w:t>The assessment has proceeded on the basis of the applicant's description of the existing use. The determination of this application does not confirm the lawful planning status of the existing HMO use, which would fall to be considered separately through an application for a Certificate of Lawfulness or other appropriate process.</w:t>
      </w:r>
    </w:p>
    <w:p w14:paraId="28BA6450" w14:textId="77777777" w:rsidR="005C2A4F" w:rsidRDefault="005C2A4F" w:rsidP="005C2A4F">
      <w:r>
        <w:t>The proposal therefore falls to be assessed against Policy H11 of the Manchester Core Strategy and all other relevant development plan policies. Particular regard must be had to Policy H11 given the existing HMO occupation of the property and its location within an area characterised by a high concentration of HMOs.</w:t>
      </w:r>
    </w:p>
    <w:p w14:paraId="273CA3F4" w14:textId="5175A150" w:rsidR="00010BC4" w:rsidRDefault="00010BC4" w:rsidP="005C2A4F">
      <w:r>
        <w:t>Policy H11 of the Manchester Core Strategy seeks to ensure that HMOs make a positive contribution to Manchester's housing offer whilst protecting the character, function and amenity of residential neighbourhoods. In relation to areas of high HMO concentration, the policy states that:</w:t>
      </w:r>
    </w:p>
    <w:p w14:paraId="7D131348" w14:textId="2E71BE79" w:rsidR="00010BC4" w:rsidRDefault="00010BC4" w:rsidP="00010BC4">
      <w:r>
        <w:t>“In areas of high concentration, extensions to HMOs (as defined in the Housing Act 2004) would not be permitted where this could reasonably be expected to lead to an increase in the level of occupation.”</w:t>
      </w:r>
    </w:p>
    <w:p w14:paraId="51B7BFB3" w14:textId="77777777" w:rsidR="00E10485" w:rsidRDefault="00E10485" w:rsidP="00B30C86">
      <w:pPr>
        <w:keepNext/>
      </w:pPr>
      <w:r w:rsidRPr="00E10485">
        <w:t xml:space="preserve">Council records demonstrate that the application site lies within a notable cluster of licensed HMOs. The Council's HMO licensing register identifies 15 licensed HMOs on Acomb Street, 23 on Ruskin Avenue and 10 on Haydn Avenue. Collectively, these three streets contain 48 licensed HMOs. By comparison, there are 181 licensed HMOs within the whole of the Moss Side ward. As such, over a quarter (approximately 26.5%) of the ward's licensed HMOs are concentrated on these three adjoining streets alone. The same area also accommodates approximately 290 licensed occupants, representing around 26.5% of the ward-wide licensed HMO capacity. This demonstrates a particularly high local concentration of HMOs around </w:t>
      </w:r>
      <w:r w:rsidRPr="00E10485">
        <w:lastRenderedPageBreak/>
        <w:t>the application site and supports the conclusion that the property is located within an area of high HMO concentration for the purposes of Policy H11.</w:t>
      </w:r>
    </w:p>
    <w:p w14:paraId="2CC5A432" w14:textId="05B37C64" w:rsidR="00B30C86" w:rsidRDefault="00B30C86" w:rsidP="00B30C86">
      <w:pPr>
        <w:keepNext/>
      </w:pPr>
      <w:r w:rsidRPr="00ED5A87">
        <w:rPr>
          <w:noProof/>
        </w:rPr>
        <w:drawing>
          <wp:inline distT="0" distB="0" distL="0" distR="0" wp14:anchorId="3D84DC75" wp14:editId="6BE1F68C">
            <wp:extent cx="6479540" cy="4379595"/>
            <wp:effectExtent l="0" t="0" r="0" b="1905"/>
            <wp:docPr id="915810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810674" name=""/>
                    <pic:cNvPicPr/>
                  </pic:nvPicPr>
                  <pic:blipFill>
                    <a:blip r:embed="rId16"/>
                    <a:stretch>
                      <a:fillRect/>
                    </a:stretch>
                  </pic:blipFill>
                  <pic:spPr>
                    <a:xfrm>
                      <a:off x="0" y="0"/>
                      <a:ext cx="6479540" cy="4379595"/>
                    </a:xfrm>
                    <a:prstGeom prst="rect">
                      <a:avLst/>
                    </a:prstGeom>
                  </pic:spPr>
                </pic:pic>
              </a:graphicData>
            </a:graphic>
          </wp:inline>
        </w:drawing>
      </w:r>
    </w:p>
    <w:p w14:paraId="76D96431" w14:textId="42FB92C9" w:rsidR="00B30C86" w:rsidRDefault="00B30C86" w:rsidP="00B30C86">
      <w:pPr>
        <w:pStyle w:val="Caption"/>
      </w:pPr>
      <w:r>
        <w:t xml:space="preserve">Figure </w:t>
      </w:r>
      <w:fldSimple w:instr=" SEQ Figure \* ARABIC ">
        <w:r>
          <w:rPr>
            <w:noProof/>
          </w:rPr>
          <w:t>1</w:t>
        </w:r>
      </w:fldSimple>
      <w:r>
        <w:t>. HMO Map of local area.</w:t>
      </w:r>
    </w:p>
    <w:p w14:paraId="7DFD4975" w14:textId="2DE56EC0" w:rsidR="00B30C86" w:rsidRDefault="00B30C86" w:rsidP="00B30C86">
      <w:pPr>
        <w:keepNext/>
      </w:pPr>
      <w:r>
        <w:t>The submitted plans show the creation of an additional bedroom within the property. Whilst the proposal would not alter the use class of the property, which would remain an HMO, the key consideration under Policy H11 is whether the extension could reasonably be expected to increase the level of occupation. In this case, the proposal would increase the number of bedrooms from five to six and facilitate occupation by an additional resident. The proposal would therefore increase the level of occupation from five to six residents.</w:t>
      </w:r>
    </w:p>
    <w:p w14:paraId="5FBF8416" w14:textId="28FA21E1" w:rsidR="00B30C86" w:rsidRDefault="00B30C86" w:rsidP="00B30C86">
      <w:pPr>
        <w:keepNext/>
      </w:pPr>
      <w:r>
        <w:t>The proposal would consequently intensify the occupation of an HMO within an area already characterised by a high concentration of HMOs. As the extension would reasonably be expected to increase the level of occupation, the proposal directly conflicts with Policy H11 of the Manchester Core Strategy, which states that extensions to HMOs in areas of high concentration will not be permitted where they could reasonably be expected to lead to an increase in occupation.</w:t>
      </w:r>
    </w:p>
    <w:p w14:paraId="5CEEDABF" w14:textId="0A9CF71D" w:rsidR="00010BC4" w:rsidRDefault="00B30C86" w:rsidP="00B30C86">
      <w:pPr>
        <w:keepNext/>
      </w:pPr>
      <w:r>
        <w:t>Significant weight is attached to this conflict with the development plan. Accordingly, the principle of the development is unacceptable, and the proposal is contrary to Policy H11 of the Manchester Core Strategy.</w:t>
      </w:r>
    </w:p>
    <w:p w14:paraId="1E356A53" w14:textId="54F03A9C" w:rsidR="003F3C12" w:rsidRPr="004804F2" w:rsidRDefault="003F3C12" w:rsidP="000E6283">
      <w:pPr>
        <w:pStyle w:val="Heading2"/>
        <w:spacing w:line="240" w:lineRule="auto"/>
        <w:rPr>
          <w:rFonts w:ascii="Arial" w:eastAsia="Times New Roman" w:hAnsi="Arial" w:cs="Arial"/>
          <w:kern w:val="2"/>
          <w:szCs w:val="32"/>
          <w14:ligatures w14:val="standardContextual"/>
        </w:rPr>
      </w:pPr>
      <w:r>
        <w:rPr>
          <w:rFonts w:ascii="Arial" w:eastAsia="Times New Roman" w:hAnsi="Arial" w:cs="Arial"/>
        </w:rPr>
        <w:t>Appropriate s</w:t>
      </w:r>
      <w:r w:rsidRPr="004804F2">
        <w:rPr>
          <w:rFonts w:ascii="Arial" w:eastAsia="Times New Roman" w:hAnsi="Arial" w:cs="Arial"/>
        </w:rPr>
        <w:t>iting, layout, scale, form, massing, materials, and detail</w:t>
      </w:r>
    </w:p>
    <w:p w14:paraId="73C691C8" w14:textId="75C1671F" w:rsidR="001C7FF5" w:rsidRPr="001C7FF5" w:rsidRDefault="001C7FF5" w:rsidP="001C7FF5">
      <w:pPr>
        <w:spacing w:line="240" w:lineRule="auto"/>
        <w:rPr>
          <w:rFonts w:eastAsia="Times New Roman"/>
        </w:rPr>
      </w:pPr>
      <w:r w:rsidRPr="001C7FF5">
        <w:rPr>
          <w:rFonts w:eastAsia="Times New Roman"/>
        </w:rPr>
        <w:t>Notwithstanding the conflict identified with Core Strategy Policy H11, the design merits of the proposal have been assessed.</w:t>
      </w:r>
    </w:p>
    <w:p w14:paraId="066F9EA0" w14:textId="608DD9CE" w:rsidR="001C7FF5" w:rsidRPr="001C7FF5" w:rsidRDefault="001C7FF5" w:rsidP="001C7FF5">
      <w:pPr>
        <w:spacing w:line="240" w:lineRule="auto"/>
        <w:rPr>
          <w:rFonts w:eastAsia="Times New Roman"/>
        </w:rPr>
      </w:pPr>
      <w:r w:rsidRPr="001C7FF5">
        <w:rPr>
          <w:rFonts w:eastAsia="Times New Roman"/>
        </w:rPr>
        <w:t xml:space="preserve">The proposed single-storey rear extension would project approximately 5.1m beyond the existing rear elevation and extend across most of the width of the property. Given its modest height, with an </w:t>
      </w:r>
      <w:r w:rsidR="001313FE" w:rsidRPr="001C7FF5">
        <w:rPr>
          <w:rFonts w:eastAsia="Times New Roman"/>
        </w:rPr>
        <w:t>eave’s</w:t>
      </w:r>
      <w:r w:rsidRPr="001C7FF5">
        <w:rPr>
          <w:rFonts w:eastAsia="Times New Roman"/>
        </w:rPr>
        <w:t xml:space="preserve"> height of approximately 2.4m and a maximum height of approximately 2.9m, the extension would appear subordinate to the host property and would not appear unduly bulky or dominant.</w:t>
      </w:r>
    </w:p>
    <w:p w14:paraId="409EAA6B" w14:textId="5859AED1" w:rsidR="001C7FF5" w:rsidRPr="001C7FF5" w:rsidRDefault="001C7FF5" w:rsidP="001C7FF5">
      <w:pPr>
        <w:spacing w:line="240" w:lineRule="auto"/>
        <w:rPr>
          <w:rFonts w:eastAsia="Times New Roman"/>
        </w:rPr>
      </w:pPr>
      <w:r w:rsidRPr="001C7FF5">
        <w:rPr>
          <w:rFonts w:eastAsia="Times New Roman"/>
        </w:rPr>
        <w:lastRenderedPageBreak/>
        <w:t xml:space="preserve">The proposed rear dormer would be positioned on the rear roof slope where it would have very limited visibility from the public realm. Rear dormers are a common feature on terraced properties throughout the </w:t>
      </w:r>
      <w:r w:rsidR="001313FE" w:rsidRPr="001C7FF5">
        <w:rPr>
          <w:rFonts w:eastAsia="Times New Roman"/>
        </w:rPr>
        <w:t>locality,</w:t>
      </w:r>
      <w:r w:rsidRPr="001C7FF5">
        <w:rPr>
          <w:rFonts w:eastAsia="Times New Roman"/>
        </w:rPr>
        <w:t xml:space="preserve"> and the proposal would not appear incongruous within the prevailing roofscape. The development would not materially alter the appearance of the principal elevation or undermine the established character of the terrace.</w:t>
      </w:r>
    </w:p>
    <w:p w14:paraId="7536580E" w14:textId="08E498E3" w:rsidR="001C7FF5" w:rsidRPr="001C7FF5" w:rsidRDefault="001C7FF5" w:rsidP="001C7FF5">
      <w:pPr>
        <w:spacing w:line="240" w:lineRule="auto"/>
        <w:rPr>
          <w:rFonts w:eastAsia="Times New Roman"/>
        </w:rPr>
      </w:pPr>
      <w:r w:rsidRPr="001C7FF5">
        <w:rPr>
          <w:rFonts w:eastAsia="Times New Roman"/>
        </w:rPr>
        <w:t>The application confirms that materials would be selected to match those of the existing property. Subject to the use of matching materials, the proposal would integrate satisfactorily with the host dwelling and would preserve the visual character of the surrounding area.</w:t>
      </w:r>
    </w:p>
    <w:p w14:paraId="68542237" w14:textId="77777777" w:rsidR="001C7FF5" w:rsidRDefault="001C7FF5" w:rsidP="001C7FF5">
      <w:pPr>
        <w:spacing w:line="240" w:lineRule="auto"/>
        <w:rPr>
          <w:rFonts w:eastAsia="Times New Roman"/>
        </w:rPr>
      </w:pPr>
      <w:r w:rsidRPr="001C7FF5">
        <w:rPr>
          <w:rFonts w:eastAsia="Times New Roman"/>
        </w:rPr>
        <w:t>Accordingly, the proposal is considered to accord with Core Strategy Policies DM1 and EN1 and saved UDP Policy DC1 in respect of design, scale, appearance and visual impact.</w:t>
      </w:r>
    </w:p>
    <w:p w14:paraId="19C8CC2F" w14:textId="33D75E94" w:rsidR="003F3C12" w:rsidRDefault="003F3C12" w:rsidP="001C7FF5">
      <w:pPr>
        <w:spacing w:line="240" w:lineRule="auto"/>
        <w:rPr>
          <w:rFonts w:ascii="Arial" w:eastAsia="Times New Roman" w:hAnsi="Arial" w:cs="Arial"/>
          <w:b/>
          <w:bCs/>
          <w:sz w:val="28"/>
          <w:szCs w:val="28"/>
        </w:rPr>
      </w:pPr>
      <w:r w:rsidRPr="00A050DC">
        <w:rPr>
          <w:rFonts w:ascii="Arial" w:eastAsia="Times New Roman" w:hAnsi="Arial" w:cs="Arial"/>
          <w:b/>
          <w:bCs/>
          <w:sz w:val="28"/>
          <w:szCs w:val="28"/>
        </w:rPr>
        <w:t>Impact on the surrounding areas in terms of the design, scale and appearance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proposed development. Development should have regard to the character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surrounding area.</w:t>
      </w:r>
      <w:r>
        <w:rPr>
          <w:rFonts w:ascii="Arial" w:eastAsia="Times New Roman" w:hAnsi="Arial" w:cs="Arial"/>
          <w:b/>
          <w:bCs/>
          <w:sz w:val="28"/>
          <w:szCs w:val="28"/>
        </w:rPr>
        <w:t xml:space="preserve"> </w:t>
      </w:r>
    </w:p>
    <w:p w14:paraId="474DF539" w14:textId="77777777" w:rsidR="003F3C12" w:rsidRDefault="003F3C12" w:rsidP="003F3C12">
      <w:pPr>
        <w:rPr>
          <w:rFonts w:eastAsia="Times New Roman"/>
          <w:b/>
          <w:bCs/>
        </w:rPr>
      </w:pPr>
      <w:r w:rsidRPr="00415B14">
        <w:rPr>
          <w:rFonts w:eastAsia="Times New Roman"/>
        </w:rPr>
        <w:t xml:space="preserve">The principal works would be located to the rear of the property and would have limited visibility from the public highway. Given the siting, scale and design of the extension and dormer, together with the proposed use of matching materials, the development would not adversely affect the character or appearance of the street scene. The proposal is therefore considered to comply with Core Strategy Policies DM1 and EN1 and saved UDP Policy DC1. </w:t>
      </w:r>
    </w:p>
    <w:p w14:paraId="10C37DB1" w14:textId="5E7819CB" w:rsidR="003C2867" w:rsidRPr="00314682" w:rsidRDefault="003C2867" w:rsidP="00CD1E82">
      <w:pPr>
        <w:pStyle w:val="Heading2"/>
        <w:rPr>
          <w:rFonts w:eastAsia="Times New Roman"/>
        </w:rPr>
      </w:pPr>
      <w:r w:rsidRPr="00314682">
        <w:rPr>
          <w:rFonts w:eastAsia="Times New Roman"/>
        </w:rPr>
        <w:t>Effects on amenity</w:t>
      </w:r>
      <w:bookmarkEnd w:id="2"/>
    </w:p>
    <w:p w14:paraId="36B9BC67" w14:textId="77777777" w:rsidR="003C2867" w:rsidRPr="00314682" w:rsidRDefault="003C2867" w:rsidP="00CD1E82">
      <w:pPr>
        <w:pStyle w:val="Heading3"/>
        <w:rPr>
          <w:rFonts w:eastAsia="Times New Roman"/>
        </w:rPr>
      </w:pPr>
      <w:bookmarkStart w:id="3" w:name="_Hlk138416875"/>
      <w:r w:rsidRPr="00314682">
        <w:rPr>
          <w:rFonts w:eastAsia="Times New Roman"/>
        </w:rPr>
        <w:t>Privacy</w:t>
      </w:r>
    </w:p>
    <w:p w14:paraId="1B1EFB9C" w14:textId="6FDF5529" w:rsidR="001C7FF5" w:rsidRPr="001C7FF5" w:rsidRDefault="001C7FF5" w:rsidP="001C7FF5">
      <w:pPr>
        <w:rPr>
          <w:rFonts w:eastAsia="Times New Roman"/>
        </w:rPr>
      </w:pPr>
      <w:r w:rsidRPr="001C7FF5">
        <w:rPr>
          <w:rFonts w:eastAsia="Times New Roman"/>
        </w:rPr>
        <w:t>The proposed single-storey rear extension would contain glazing serving habitable accommodation. These openings would maintain typical facing relationships found throughout the surrounding terraced environment and would not result in unacceptable overlooking beyond that which already exists.</w:t>
      </w:r>
    </w:p>
    <w:p w14:paraId="411E421B" w14:textId="1CD5CEF4" w:rsidR="001C7FF5" w:rsidRPr="001C7FF5" w:rsidRDefault="001C7FF5" w:rsidP="001C7FF5">
      <w:pPr>
        <w:rPr>
          <w:rFonts w:eastAsia="Times New Roman"/>
        </w:rPr>
      </w:pPr>
      <w:r w:rsidRPr="001C7FF5">
        <w:rPr>
          <w:rFonts w:eastAsia="Times New Roman"/>
        </w:rPr>
        <w:t>The proposed dormer includes a side-facing window. In the absence of controls, this opening could give rise to overlooking of neighbouring properties. However, a condition could reasonably require the window to be obscurely glazed and fixed shut except for a top-hung opening section with any opening element positioned at least 1.7m above the finished floor level. Subject to such a condition, no unacceptable loss of privacy would arise.</w:t>
      </w:r>
    </w:p>
    <w:p w14:paraId="32010E36" w14:textId="77777777" w:rsidR="001C7FF5" w:rsidRDefault="001C7FF5" w:rsidP="001C7FF5">
      <w:pPr>
        <w:rPr>
          <w:rFonts w:eastAsia="Times New Roman"/>
        </w:rPr>
      </w:pPr>
      <w:r w:rsidRPr="001C7FF5">
        <w:rPr>
          <w:rFonts w:eastAsia="Times New Roman"/>
        </w:rPr>
        <w:t>The proposal would therefore have an acceptable impact on neighbouring privacy.</w:t>
      </w:r>
    </w:p>
    <w:p w14:paraId="3D9FFC5D" w14:textId="6AFAC915" w:rsidR="003C2867" w:rsidRPr="00314682" w:rsidRDefault="003C2867" w:rsidP="001C7FF5">
      <w:pPr>
        <w:pStyle w:val="Heading3"/>
        <w:rPr>
          <w:rFonts w:eastAsia="Times New Roman"/>
        </w:rPr>
      </w:pPr>
      <w:r w:rsidRPr="00314682">
        <w:rPr>
          <w:rFonts w:eastAsia="Times New Roman"/>
        </w:rPr>
        <w:t>Light</w:t>
      </w:r>
    </w:p>
    <w:p w14:paraId="74FA423D" w14:textId="30BCAE1C" w:rsidR="00327F06" w:rsidRPr="00327F06" w:rsidRDefault="00327F06" w:rsidP="00327F06">
      <w:pPr>
        <w:rPr>
          <w:rFonts w:eastAsia="Times New Roman"/>
        </w:rPr>
      </w:pPr>
      <w:r w:rsidRPr="00327F06">
        <w:rPr>
          <w:rFonts w:eastAsia="Times New Roman"/>
        </w:rPr>
        <w:t>The rear extension would project beyond the existing rear building line but would remain single storey in height. Such extensions are commonplace within terraced residential areas and, having regard to its scale and height, the proposal would not result in a significant loss of daylight, sunlight or outlook to adjoining occupiers.</w:t>
      </w:r>
    </w:p>
    <w:p w14:paraId="1276C166" w14:textId="3E208570" w:rsidR="00327F06" w:rsidRPr="00327F06" w:rsidRDefault="00327F06" w:rsidP="00327F06">
      <w:pPr>
        <w:rPr>
          <w:rFonts w:eastAsia="Times New Roman"/>
        </w:rPr>
      </w:pPr>
      <w:r w:rsidRPr="00327F06">
        <w:rPr>
          <w:rFonts w:eastAsia="Times New Roman"/>
        </w:rPr>
        <w:t>The rear dormer would be contained within the roof slope and would not result in any overbearing relationship with neighbouring properties. Given its position and scale, it would not materially affect light reaching adjacent buildings.</w:t>
      </w:r>
    </w:p>
    <w:p w14:paraId="19C911C8" w14:textId="77777777" w:rsidR="00327F06" w:rsidRDefault="00327F06" w:rsidP="00327F06">
      <w:pPr>
        <w:rPr>
          <w:rFonts w:eastAsia="Times New Roman"/>
        </w:rPr>
      </w:pPr>
      <w:r w:rsidRPr="00327F06">
        <w:rPr>
          <w:rFonts w:eastAsia="Times New Roman"/>
        </w:rPr>
        <w:t>Overall, the proposal would not give rise to any unacceptable overshadowing, loss of outlook or overbearing impact and is considered acceptable in residential amenity terms.</w:t>
      </w:r>
    </w:p>
    <w:p w14:paraId="6847F0DD" w14:textId="42E301CE" w:rsidR="003C2867" w:rsidRPr="00314682" w:rsidRDefault="003C2867" w:rsidP="00327F06">
      <w:pPr>
        <w:pStyle w:val="Heading3"/>
        <w:rPr>
          <w:rFonts w:eastAsia="Times New Roman"/>
        </w:rPr>
      </w:pPr>
      <w:r w:rsidRPr="00314682">
        <w:rPr>
          <w:rFonts w:eastAsia="Times New Roman"/>
        </w:rPr>
        <w:t>Noise</w:t>
      </w:r>
    </w:p>
    <w:p w14:paraId="135AC39C" w14:textId="7EFCE617" w:rsidR="00327F06" w:rsidRPr="00327F06" w:rsidRDefault="00327F06" w:rsidP="00327F06">
      <w:pPr>
        <w:rPr>
          <w:rFonts w:eastAsia="Times New Roman"/>
        </w:rPr>
      </w:pPr>
      <w:r w:rsidRPr="00327F06">
        <w:rPr>
          <w:rFonts w:eastAsia="Times New Roman"/>
        </w:rPr>
        <w:t>The construction works associated with the extension and dormer would be temporary in nature and would not result in ongoing noise impacts.</w:t>
      </w:r>
    </w:p>
    <w:p w14:paraId="059BE8BF" w14:textId="73EF599A" w:rsidR="00327F06" w:rsidRPr="00327F06" w:rsidRDefault="00327F06" w:rsidP="00327F06">
      <w:pPr>
        <w:rPr>
          <w:rFonts w:eastAsia="Times New Roman"/>
        </w:rPr>
      </w:pPr>
      <w:r w:rsidRPr="00327F06">
        <w:rPr>
          <w:rFonts w:eastAsia="Times New Roman"/>
        </w:rPr>
        <w:t xml:space="preserve">However, the proposal would facilitate the creation of an additional bedroom and thereby increase the occupancy of the existing HMO from five to six residents. Whilst the addition of a single occupant would not be expected to give rise to significant amenity harm in isolation, it would nevertheless intensify the </w:t>
      </w:r>
      <w:r w:rsidRPr="00327F06">
        <w:rPr>
          <w:rFonts w:eastAsia="Times New Roman"/>
        </w:rPr>
        <w:lastRenderedPageBreak/>
        <w:t>existing use and generate additional day-to-day domestic activity associated with occupation of the property.</w:t>
      </w:r>
    </w:p>
    <w:p w14:paraId="32D1DBB2" w14:textId="5173519F" w:rsidR="00327F06" w:rsidRPr="00327F06" w:rsidRDefault="00327F06" w:rsidP="00327F06">
      <w:pPr>
        <w:rPr>
          <w:rFonts w:eastAsia="Times New Roman"/>
        </w:rPr>
      </w:pPr>
      <w:r w:rsidRPr="00327F06">
        <w:rPr>
          <w:rFonts w:eastAsia="Times New Roman"/>
        </w:rPr>
        <w:t>The site lies within an area already characterised by a high concentration of HMOs. In this context, incremental increases in occupancy contribute to the cumulative impacts associated with intensive shared housing accommodation, including increased comings and goings, activity within communal spaces and additional domestic noise generation.</w:t>
      </w:r>
    </w:p>
    <w:p w14:paraId="0BCB9F28" w14:textId="77777777" w:rsidR="00327F06" w:rsidRDefault="00327F06" w:rsidP="00327F06">
      <w:pPr>
        <w:rPr>
          <w:rFonts w:eastAsia="Times New Roman"/>
        </w:rPr>
      </w:pPr>
      <w:r w:rsidRPr="00327F06">
        <w:rPr>
          <w:rFonts w:eastAsia="Times New Roman"/>
        </w:rPr>
        <w:t>Whilst the resulting impacts are not considered severe in their own right, they reinforce the concerns identified under Policy H11 regarding further intensification of HMO occupation within an area of high concentration. Moderate weight is therefore given to this consideration.</w:t>
      </w:r>
    </w:p>
    <w:p w14:paraId="5E8BA97A" w14:textId="4EC8E37A" w:rsidR="003C2867" w:rsidRPr="00314682" w:rsidRDefault="003C2867" w:rsidP="00327F06">
      <w:pPr>
        <w:pStyle w:val="Heading3"/>
        <w:rPr>
          <w:rFonts w:eastAsia="Times New Roman"/>
        </w:rPr>
      </w:pPr>
      <w:r w:rsidRPr="00314682">
        <w:rPr>
          <w:rFonts w:eastAsia="Times New Roman"/>
        </w:rPr>
        <w:t>Road Safety and Traffic Generation</w:t>
      </w:r>
    </w:p>
    <w:p w14:paraId="33174CE1" w14:textId="42FF6276" w:rsidR="00856E0E" w:rsidRPr="00856E0E" w:rsidRDefault="00856E0E" w:rsidP="00262BCE">
      <w:pPr>
        <w:rPr>
          <w:rFonts w:eastAsia="Times New Roman"/>
        </w:rPr>
      </w:pPr>
      <w:bookmarkStart w:id="4" w:name="_Toc143157934"/>
      <w:bookmarkEnd w:id="3"/>
      <w:r w:rsidRPr="00856E0E">
        <w:rPr>
          <w:rFonts w:eastAsia="Times New Roman"/>
        </w:rPr>
        <w:t>The proposal would not result in any alteration to the existing vehicular or pedestrian access arrangements serving the property.</w:t>
      </w:r>
    </w:p>
    <w:p w14:paraId="0F4F0F22" w14:textId="4F2B4825" w:rsidR="00262BCE" w:rsidRPr="00856E0E" w:rsidRDefault="00262BCE" w:rsidP="00262BCE">
      <w:pPr>
        <w:rPr>
          <w:rFonts w:eastAsia="Times New Roman"/>
        </w:rPr>
      </w:pPr>
      <w:r w:rsidRPr="00262BCE">
        <w:rPr>
          <w:rFonts w:eastAsia="Times New Roman"/>
        </w:rPr>
        <w:t>Highway Services were consulted and raised no objection to the proposal. They advised that the development would be unlikely to generate a significant increase in vehicular trips and would not give rise to network capacity concerns. The site benefits from good accessibility by sustainable transport modes and is located within walking distance of regular bus services.</w:t>
      </w:r>
    </w:p>
    <w:p w14:paraId="2EF1A0A3" w14:textId="6F75D8F9" w:rsidR="003C2867" w:rsidRPr="00856E0E" w:rsidRDefault="00856E0E" w:rsidP="00262BCE">
      <w:pPr>
        <w:rPr>
          <w:rFonts w:eastAsia="Times New Roman"/>
        </w:rPr>
      </w:pPr>
      <w:r w:rsidRPr="00856E0E">
        <w:rPr>
          <w:rFonts w:eastAsia="Times New Roman"/>
        </w:rPr>
        <w:t>The proposal is therefore acceptable in highway safety and traffic generation terms.</w:t>
      </w:r>
    </w:p>
    <w:p w14:paraId="06AC5599" w14:textId="77777777" w:rsidR="003C2867" w:rsidRPr="00314682" w:rsidRDefault="003C2867" w:rsidP="00CD1E82">
      <w:pPr>
        <w:pStyle w:val="Heading2"/>
        <w:rPr>
          <w:rFonts w:eastAsia="Times New Roman"/>
        </w:rPr>
      </w:pPr>
      <w:r w:rsidRPr="00314682">
        <w:rPr>
          <w:rFonts w:eastAsia="Times New Roman"/>
        </w:rPr>
        <w:t>Accessibility</w:t>
      </w:r>
      <w:bookmarkEnd w:id="4"/>
      <w:r w:rsidRPr="00314682">
        <w:rPr>
          <w:rFonts w:eastAsia="Times New Roman"/>
        </w:rPr>
        <w:t>: buildings and neighbourhoods fully accessible to disabled people, access to new development by sustainable transport modes.</w:t>
      </w:r>
    </w:p>
    <w:p w14:paraId="02177DCE" w14:textId="0BA9A94F" w:rsidR="00856E0E" w:rsidRPr="00856E0E" w:rsidRDefault="00856E0E" w:rsidP="00856E0E">
      <w:pPr>
        <w:rPr>
          <w:rFonts w:eastAsia="Times New Roman"/>
        </w:rPr>
      </w:pPr>
      <w:bookmarkStart w:id="5" w:name="_Toc143157935"/>
      <w:bookmarkStart w:id="6" w:name="_Toc143157937"/>
      <w:r w:rsidRPr="00856E0E">
        <w:rPr>
          <w:rFonts w:eastAsia="Times New Roman"/>
        </w:rPr>
        <w:t>The proposal relates to extensions and alterations to an existing residential property and would not materially alter access arrangements to or from the site.</w:t>
      </w:r>
    </w:p>
    <w:p w14:paraId="2E16F779" w14:textId="6EA0A3C6" w:rsidR="00856E0E" w:rsidRPr="00856E0E" w:rsidRDefault="00856E0E" w:rsidP="00856E0E">
      <w:pPr>
        <w:rPr>
          <w:rFonts w:eastAsia="Times New Roman"/>
        </w:rPr>
      </w:pPr>
      <w:r w:rsidRPr="00856E0E">
        <w:rPr>
          <w:rFonts w:eastAsia="Times New Roman"/>
        </w:rPr>
        <w:t>The property occupies a sustainable urban location with convenient access to public transport services, local shops, services and community facilities. The development would therefore continue to provide accessible accommodation within a sustainable location.</w:t>
      </w:r>
    </w:p>
    <w:p w14:paraId="2EF9FBF0" w14:textId="77777777" w:rsidR="00856E0E" w:rsidRDefault="00856E0E" w:rsidP="00856E0E">
      <w:pPr>
        <w:rPr>
          <w:rFonts w:eastAsia="Times New Roman"/>
          <w:b/>
          <w:bCs/>
        </w:rPr>
      </w:pPr>
      <w:r w:rsidRPr="00856E0E">
        <w:rPr>
          <w:rFonts w:eastAsia="Times New Roman"/>
        </w:rPr>
        <w:t>Accordingly, the proposal raises no accessibility concerns and accords with the objectives of inclusive and sustainable development.</w:t>
      </w:r>
    </w:p>
    <w:bookmarkEnd w:id="5"/>
    <w:p w14:paraId="0089DBBF" w14:textId="77777777" w:rsidR="003C2867" w:rsidRPr="00314682" w:rsidRDefault="003C2867" w:rsidP="00CD1E82">
      <w:pPr>
        <w:pStyle w:val="Heading2"/>
        <w:rPr>
          <w:rFonts w:eastAsia="Times New Roman"/>
        </w:rPr>
      </w:pPr>
      <w:r w:rsidRPr="00314682">
        <w:rPr>
          <w:rFonts w:eastAsia="Times New Roman"/>
        </w:rPr>
        <w:t>Adequacy of internal accommodation and external amenity space.</w:t>
      </w:r>
      <w:bookmarkEnd w:id="6"/>
    </w:p>
    <w:p w14:paraId="3DF2ADFE" w14:textId="2580BB70" w:rsidR="00640714" w:rsidRPr="00640714" w:rsidRDefault="00640714" w:rsidP="00640714">
      <w:pPr>
        <w:rPr>
          <w:rFonts w:eastAsia="Times New Roman"/>
        </w:rPr>
      </w:pPr>
      <w:bookmarkStart w:id="7" w:name="_Toc143157938"/>
      <w:bookmarkStart w:id="8" w:name="_Hlk138659829"/>
      <w:bookmarkStart w:id="9" w:name="_Hlk138747097"/>
      <w:r w:rsidRPr="00640714">
        <w:rPr>
          <w:rFonts w:eastAsia="Times New Roman"/>
        </w:rPr>
        <w:t>The proposal would provide additional internal floorspace and facilitate the creation of a sixth bedroom within the existing HMO. The internal layout would remain capable of providing an acceptable standard of accommodation for future occupiers.</w:t>
      </w:r>
    </w:p>
    <w:p w14:paraId="69A37752" w14:textId="4718CF38" w:rsidR="00640714" w:rsidRPr="00640714" w:rsidRDefault="00640714" w:rsidP="00640714">
      <w:pPr>
        <w:rPr>
          <w:rFonts w:eastAsia="Times New Roman"/>
        </w:rPr>
      </w:pPr>
      <w:r w:rsidRPr="009349DD">
        <w:rPr>
          <w:rFonts w:eastAsia="Times New Roman"/>
        </w:rPr>
        <w:t>However,</w:t>
      </w:r>
      <w:r w:rsidRPr="00640714">
        <w:rPr>
          <w:rFonts w:eastAsia="Times New Roman"/>
        </w:rPr>
        <w:t xml:space="preserve"> the proposed single-storey rear extension would substantially reduce the size of the existing rear yard, leaving only a limited area of shared external amenity space available to residents. The plans indicate that a relatively small area of outdoor space would remain following the extension.</w:t>
      </w:r>
    </w:p>
    <w:p w14:paraId="19BA207F" w14:textId="3464DD8D" w:rsidR="00640714" w:rsidRPr="00640714" w:rsidRDefault="00640714" w:rsidP="00640714">
      <w:pPr>
        <w:rPr>
          <w:rFonts w:eastAsia="Times New Roman"/>
        </w:rPr>
      </w:pPr>
      <w:r w:rsidRPr="00640714">
        <w:rPr>
          <w:rFonts w:eastAsia="Times New Roman"/>
        </w:rPr>
        <w:t xml:space="preserve">The development would also increase the occupancy of the property from five to six residents. </w:t>
      </w:r>
      <w:r w:rsidR="00B2587B" w:rsidRPr="00640714">
        <w:rPr>
          <w:rFonts w:eastAsia="Times New Roman"/>
        </w:rPr>
        <w:t>Consequently</w:t>
      </w:r>
      <w:r w:rsidRPr="00640714">
        <w:rPr>
          <w:rFonts w:eastAsia="Times New Roman"/>
        </w:rPr>
        <w:t>, a greater number of occupants would be reliant upon a reduced amount of outdoor amenity space. Whilst the remaining yard would continue to provide some external amenity provision, the level of amenity space available per resident would be diminished and would be limited for a six-person HMO.</w:t>
      </w:r>
    </w:p>
    <w:p w14:paraId="3C9A694C" w14:textId="77777777" w:rsidR="00640714" w:rsidRDefault="00640714" w:rsidP="00640714">
      <w:pPr>
        <w:rPr>
          <w:rFonts w:eastAsia="Times New Roman"/>
          <w:b/>
          <w:bCs/>
        </w:rPr>
      </w:pPr>
      <w:r w:rsidRPr="00640714">
        <w:rPr>
          <w:rFonts w:eastAsia="Times New Roman"/>
        </w:rPr>
        <w:t>Although the reduction in external amenity space would not, in isolation, justify refusal of the application, it reinforces the intensification of use arising from the proposal. The combination of increased occupancy and reduced shared outdoor space adds further weight to the conflict with Policy H11 of the Manchester Core Strategy, which seeks to resist extensions to HMOs in areas of high concentration where they could reasonably be expected to increase the level of occupation.</w:t>
      </w:r>
    </w:p>
    <w:p w14:paraId="31B07F53" w14:textId="4B37F40D" w:rsidR="003C2867" w:rsidRDefault="003C2867" w:rsidP="00640714">
      <w:pPr>
        <w:pStyle w:val="Heading2"/>
        <w:rPr>
          <w:rFonts w:eastAsia="Times New Roman"/>
        </w:rPr>
      </w:pPr>
      <w:r w:rsidRPr="00314682">
        <w:rPr>
          <w:rFonts w:eastAsia="Times New Roman"/>
        </w:rPr>
        <w:lastRenderedPageBreak/>
        <w:t>Refuse storage and collection.</w:t>
      </w:r>
      <w:bookmarkEnd w:id="7"/>
    </w:p>
    <w:p w14:paraId="1B15E3D4" w14:textId="74F5953C" w:rsidR="00761F8A" w:rsidRPr="00761F8A" w:rsidRDefault="00761F8A" w:rsidP="00761F8A">
      <w:r w:rsidRPr="00761F8A">
        <w:t>A refuse storage area is shown within the site. Highway Services confirmed that this arrangement would ensure refuse is stored off the highway and considered it acceptable for refuse to be serviced in line with existing operations. The proposal is therefore acceptable in terms of refuse storage and collection.</w:t>
      </w:r>
    </w:p>
    <w:p w14:paraId="40D971FF" w14:textId="4E0D6178" w:rsidR="003C2867" w:rsidRPr="00314682" w:rsidRDefault="003C2867" w:rsidP="00520209">
      <w:pPr>
        <w:pStyle w:val="Heading2"/>
        <w:rPr>
          <w:rFonts w:eastAsia="Times New Roman"/>
          <w:kern w:val="2"/>
          <w14:ligatures w14:val="standardContextual"/>
        </w:rPr>
      </w:pPr>
      <w:bookmarkStart w:id="10" w:name="_Toc143157939"/>
      <w:bookmarkEnd w:id="8"/>
      <w:bookmarkEnd w:id="9"/>
      <w:r w:rsidRPr="00314682">
        <w:rPr>
          <w:rFonts w:eastAsia="Times New Roman"/>
        </w:rPr>
        <w:t>Vehicular access and car parking</w:t>
      </w:r>
      <w:bookmarkEnd w:id="10"/>
    </w:p>
    <w:p w14:paraId="474B1B67" w14:textId="4C12ECF4" w:rsidR="00364B5D" w:rsidRPr="00761F8A" w:rsidRDefault="00364B5D" w:rsidP="00C07443">
      <w:pPr>
        <w:rPr>
          <w:rFonts w:eastAsia="Times New Roman"/>
          <w:b/>
          <w:bCs/>
        </w:rPr>
      </w:pPr>
      <w:bookmarkStart w:id="11" w:name="_Toc143157940"/>
      <w:bookmarkStart w:id="12" w:name="_Hlk214431049"/>
      <w:r w:rsidRPr="00761F8A">
        <w:rPr>
          <w:rFonts w:eastAsia="Times New Roman"/>
        </w:rPr>
        <w:t>The proposal would not alter existing access arrangements or result in the loss of any off-street parking provision.</w:t>
      </w:r>
    </w:p>
    <w:p w14:paraId="36C4888D" w14:textId="29423B55" w:rsidR="00364B5D" w:rsidRPr="00761F8A" w:rsidRDefault="00364B5D" w:rsidP="00C07443">
      <w:pPr>
        <w:rPr>
          <w:rFonts w:eastAsia="Times New Roman"/>
          <w:b/>
          <w:bCs/>
        </w:rPr>
      </w:pPr>
      <w:r w:rsidRPr="00761F8A">
        <w:rPr>
          <w:rFonts w:eastAsia="Times New Roman"/>
        </w:rPr>
        <w:t>Given the sustainable location of the site and the modest increase in occupancy proposed, it is not considered that the development would create unacceptable parking pressures or highway impacts.</w:t>
      </w:r>
    </w:p>
    <w:p w14:paraId="552F942F" w14:textId="77777777" w:rsidR="00364B5D" w:rsidRPr="00761F8A" w:rsidRDefault="00364B5D" w:rsidP="00C07443">
      <w:pPr>
        <w:rPr>
          <w:rFonts w:eastAsia="Times New Roman"/>
          <w:b/>
          <w:bCs/>
        </w:rPr>
      </w:pPr>
      <w:r w:rsidRPr="00761F8A">
        <w:rPr>
          <w:rFonts w:eastAsia="Times New Roman"/>
        </w:rPr>
        <w:t>The proposal is therefore acceptable in parking and access terms.</w:t>
      </w:r>
    </w:p>
    <w:p w14:paraId="6B0375EE" w14:textId="77777777" w:rsidR="003C2867" w:rsidRPr="00314682" w:rsidRDefault="003C2867" w:rsidP="00CD1E82">
      <w:pPr>
        <w:pStyle w:val="Heading2"/>
        <w:rPr>
          <w:rFonts w:eastAsia="Times New Roman"/>
          <w:kern w:val="2"/>
          <w14:ligatures w14:val="standardContextual"/>
        </w:rPr>
      </w:pPr>
      <w:bookmarkStart w:id="13" w:name="_Toc143157941"/>
      <w:bookmarkStart w:id="14" w:name="_Hlk138747250"/>
      <w:bookmarkEnd w:id="11"/>
      <w:bookmarkEnd w:id="12"/>
      <w:r w:rsidRPr="00314682">
        <w:rPr>
          <w:rFonts w:eastAsia="Times New Roman"/>
        </w:rPr>
        <w:t>Green Infrastructure including open space, both public and private</w:t>
      </w:r>
      <w:bookmarkEnd w:id="13"/>
    </w:p>
    <w:bookmarkEnd w:id="14"/>
    <w:p w14:paraId="0E09257B" w14:textId="77777777" w:rsidR="003C2867" w:rsidRPr="00B2587B" w:rsidRDefault="003C2867" w:rsidP="00FF3716">
      <w:pPr>
        <w:spacing w:line="240" w:lineRule="auto"/>
        <w:rPr>
          <w:rFonts w:ascii="Arial" w:eastAsia="Times New Roman" w:hAnsi="Arial" w:cs="Arial"/>
        </w:rPr>
      </w:pPr>
      <w:r w:rsidRPr="00B2587B">
        <w:rPr>
          <w:rFonts w:ascii="Arial" w:eastAsia="Times New Roman" w:hAnsi="Arial" w:cs="Arial"/>
        </w:rPr>
        <w:t>The proposal has no impact on green infrastructure.</w:t>
      </w:r>
    </w:p>
    <w:p w14:paraId="75D35338" w14:textId="77777777" w:rsidR="003C2867" w:rsidRPr="00314682" w:rsidRDefault="003C2867" w:rsidP="00CD1E82">
      <w:pPr>
        <w:pStyle w:val="Heading2"/>
        <w:rPr>
          <w:rFonts w:eastAsia="Times New Roman"/>
          <w:kern w:val="2"/>
          <w14:ligatures w14:val="standardContextual"/>
        </w:rPr>
      </w:pPr>
      <w:bookmarkStart w:id="15" w:name="_Toc143157942"/>
      <w:bookmarkStart w:id="16" w:name="_Hlk138747198"/>
      <w:r w:rsidRPr="00314682">
        <w:rPr>
          <w:rFonts w:eastAsia="Times New Roman"/>
        </w:rPr>
        <w:t>Flood risk and drainage</w:t>
      </w:r>
      <w:bookmarkEnd w:id="15"/>
    </w:p>
    <w:bookmarkEnd w:id="16"/>
    <w:p w14:paraId="0ABED439" w14:textId="7A3DEE07" w:rsidR="001662A9" w:rsidRPr="001662A9" w:rsidRDefault="001662A9" w:rsidP="007401DF">
      <w:pPr>
        <w:rPr>
          <w:rFonts w:eastAsia="Times New Roman"/>
        </w:rPr>
      </w:pPr>
      <w:r w:rsidRPr="001662A9">
        <w:rPr>
          <w:rFonts w:eastAsia="Times New Roman"/>
        </w:rPr>
        <w:t>The site is located within an existing residential area and the proposal comprises a relatively small-scale extension to an existing property.</w:t>
      </w:r>
    </w:p>
    <w:p w14:paraId="15C568DB" w14:textId="1755C2B2" w:rsidR="001662A9" w:rsidRPr="001662A9" w:rsidRDefault="001662A9" w:rsidP="007401DF">
      <w:pPr>
        <w:rPr>
          <w:rFonts w:eastAsia="Times New Roman"/>
        </w:rPr>
      </w:pPr>
      <w:r w:rsidRPr="001662A9">
        <w:rPr>
          <w:rFonts w:eastAsia="Times New Roman"/>
        </w:rPr>
        <w:t>The development would utilise existing drainage infrastructure and, having regard to its scale and nature, would not materially increase flood risk either on-site or elsewhere.</w:t>
      </w:r>
    </w:p>
    <w:p w14:paraId="36593C35" w14:textId="77777777" w:rsidR="001662A9" w:rsidRDefault="001662A9" w:rsidP="007401DF">
      <w:pPr>
        <w:rPr>
          <w:rFonts w:eastAsia="Times New Roman"/>
          <w:b/>
          <w:bCs/>
        </w:rPr>
      </w:pPr>
      <w:r w:rsidRPr="001662A9">
        <w:rPr>
          <w:rFonts w:eastAsia="Times New Roman"/>
        </w:rPr>
        <w:t>The proposal is therefore acceptable in terms of flood risk and drainage.</w:t>
      </w:r>
    </w:p>
    <w:p w14:paraId="7F9E7D89" w14:textId="77777777" w:rsidR="006F7F26" w:rsidRPr="006F7F26" w:rsidRDefault="006F7F26" w:rsidP="007A38CA">
      <w:pPr>
        <w:pStyle w:val="Heading1"/>
        <w:jc w:val="left"/>
        <w:rPr>
          <w:rFonts w:eastAsia="Times New Roman"/>
        </w:rPr>
      </w:pPr>
      <w:r w:rsidRPr="006F7F26">
        <w:rPr>
          <w:rFonts w:eastAsia="Times New Roman"/>
        </w:rPr>
        <w:t>Other Legislative Requirements</w:t>
      </w:r>
    </w:p>
    <w:p w14:paraId="7E42E79A" w14:textId="77777777" w:rsidR="006F7F26" w:rsidRPr="006F7F26" w:rsidRDefault="006F7F26" w:rsidP="007A38CA">
      <w:pPr>
        <w:pStyle w:val="Heading2"/>
        <w:jc w:val="left"/>
        <w:rPr>
          <w:rFonts w:eastAsia="Times New Roman"/>
        </w:rPr>
      </w:pPr>
      <w:r w:rsidRPr="006F7F26">
        <w:rPr>
          <w:rFonts w:eastAsia="Times New Roman"/>
        </w:rPr>
        <w:t>Equality Act 2010</w:t>
      </w:r>
    </w:p>
    <w:p w14:paraId="32B6A0DD" w14:textId="6CB0699E" w:rsidR="006F7F26" w:rsidRPr="006F7F26" w:rsidRDefault="006F7F26" w:rsidP="007A38CA">
      <w:pPr>
        <w:jc w:val="left"/>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7A38CA">
      <w:pPr>
        <w:pStyle w:val="Heading2"/>
        <w:jc w:val="left"/>
        <w:rPr>
          <w:rFonts w:eastAsia="Times New Roman"/>
        </w:rPr>
      </w:pPr>
      <w:r w:rsidRPr="006F7F26">
        <w:rPr>
          <w:rFonts w:eastAsia="Times New Roman"/>
        </w:rPr>
        <w:t>Human Rights Act 1998 considerations</w:t>
      </w:r>
    </w:p>
    <w:p w14:paraId="23293B29" w14:textId="405397F0" w:rsidR="006F7F26" w:rsidRPr="006F7F26" w:rsidRDefault="006F7F26" w:rsidP="007A38CA">
      <w:pPr>
        <w:jc w:val="left"/>
        <w:rPr>
          <w:rFonts w:eastAsia="Times New Roman" w:cs="Arial"/>
        </w:rPr>
      </w:pPr>
      <w:r w:rsidRPr="006F7F26">
        <w:rPr>
          <w:rFonts w:eastAsia="Times New Roman"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F0477A2" w14:textId="7FCF6A6F" w:rsidR="006F7F26" w:rsidRDefault="006F7F26" w:rsidP="007A38CA">
      <w:pPr>
        <w:jc w:val="left"/>
      </w:pPr>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1B248040" w14:textId="77777777" w:rsidR="007401DF" w:rsidRDefault="007401DF" w:rsidP="00085173">
      <w:pPr>
        <w:pStyle w:val="Heading1"/>
        <w:spacing w:line="240" w:lineRule="auto"/>
        <w:rPr>
          <w:rFonts w:ascii="Arial" w:hAnsi="Arial" w:cs="Arial"/>
        </w:rPr>
      </w:pPr>
      <w:bookmarkStart w:id="17" w:name="_Toc143157997"/>
      <w:bookmarkStart w:id="18" w:name="_Hlk140055807"/>
      <w:bookmarkStart w:id="19" w:name="_Hlk138837797"/>
      <w:bookmarkStart w:id="20" w:name="_Hlk138407854"/>
      <w:bookmarkStart w:id="21" w:name="_Hlk138405024"/>
      <w:r>
        <w:rPr>
          <w:rFonts w:ascii="Arial" w:hAnsi="Arial" w:cs="Arial"/>
        </w:rPr>
        <w:t xml:space="preserve">Planning balance &amp; </w:t>
      </w:r>
      <w:r w:rsidRPr="004804F2">
        <w:rPr>
          <w:rFonts w:ascii="Arial" w:hAnsi="Arial" w:cs="Arial"/>
        </w:rPr>
        <w:t>Conclusion</w:t>
      </w:r>
      <w:bookmarkEnd w:id="17"/>
      <w:bookmarkEnd w:id="18"/>
      <w:bookmarkEnd w:id="19"/>
      <w:bookmarkEnd w:id="20"/>
    </w:p>
    <w:p w14:paraId="6D2B41AA" w14:textId="2AF5B3DC" w:rsidR="00766BE7" w:rsidRDefault="00766BE7" w:rsidP="00766BE7">
      <w:r>
        <w:t xml:space="preserve">The proposed single-storey rear extension and rear dormer roof extension would be acceptable in design terms and would not result in unacceptable impacts on the character or appearance of the property, the </w:t>
      </w:r>
      <w:r>
        <w:lastRenderedPageBreak/>
        <w:t>surrounding area, neighbouring amenity, highway safety, accessibility or drainage. These considerations attract limited positive weight in favour of the proposal.</w:t>
      </w:r>
    </w:p>
    <w:p w14:paraId="5287D386" w14:textId="618DF06B" w:rsidR="00766BE7" w:rsidRDefault="00766BE7" w:rsidP="00766BE7">
      <w:r>
        <w:t>However, the application site is an existing House in Multiple Occupation located within an area of high HMO concentration. The proposed development would facilitate the creation of an additional bedroom and would increase the occupancy of the property from five to six residents. Core Strategy Policy H11 states that, in areas of high concentration, extensions to HMOs will not be permitted where they could reasonably be expected to lead to an increase in the level of occupation.</w:t>
      </w:r>
    </w:p>
    <w:p w14:paraId="5D605840" w14:textId="41F29BC6" w:rsidR="00766BE7" w:rsidRDefault="00766BE7" w:rsidP="00766BE7">
      <w:r>
        <w:t>The proposal would directly increase the occupancy of the HMO and therefore falls squarely within the circumstances identified by Policy H11 where planning permission should not be granted. Significant weight is attached to this conflict with the development plan.</w:t>
      </w:r>
    </w:p>
    <w:p w14:paraId="7C9C8B67" w14:textId="184C3D2C" w:rsidR="00F62BF5" w:rsidRDefault="00F62BF5" w:rsidP="00766BE7">
      <w:r w:rsidRPr="00F62BF5">
        <w:t>As the proposal would directly facilitate an increase in occupancy within an existing HMO located in an area of high HMO concentration, it conflicts with the clear wording of Policy H11. Significant weight is attached to this conflict. The limited benefits associated with additional residential accommodation and the otherwise acceptable physical alterations do not outweigh that identified conflict with the development plan</w:t>
      </w:r>
      <w:r w:rsidR="00B37A2B">
        <w:t>.</w:t>
      </w:r>
    </w:p>
    <w:p w14:paraId="67E013C3" w14:textId="3B6714FA" w:rsidR="00766BE7" w:rsidRPr="00766BE7" w:rsidRDefault="00766BE7" w:rsidP="00766BE7">
      <w:r>
        <w:t>Accordingly, the application is recommended for refusal.</w:t>
      </w:r>
    </w:p>
    <w:p w14:paraId="6258C76D" w14:textId="2C9014CA" w:rsidR="007401DF" w:rsidRPr="004804F2" w:rsidRDefault="007401DF" w:rsidP="00085173">
      <w:pPr>
        <w:pStyle w:val="Heading1"/>
        <w:rPr>
          <w:rFonts w:ascii="Arial" w:hAnsi="Arial" w:cs="Arial"/>
        </w:rPr>
      </w:pPr>
      <w:bookmarkStart w:id="22" w:name="_Toc143157998"/>
      <w:bookmarkEnd w:id="21"/>
      <w:r w:rsidRPr="004804F2">
        <w:rPr>
          <w:rStyle w:val="Heading2Char"/>
          <w:rFonts w:ascii="Arial" w:hAnsi="Arial" w:cs="Arial"/>
          <w:b/>
          <w:bCs/>
        </w:rPr>
        <w:t>Recommendation:</w:t>
      </w:r>
      <w:bookmarkEnd w:id="22"/>
      <w:r w:rsidRPr="004804F2">
        <w:rPr>
          <w:rStyle w:val="Heading2Char"/>
          <w:rFonts w:ascii="Arial" w:hAnsi="Arial" w:cs="Arial"/>
          <w:b/>
          <w:bCs/>
        </w:rPr>
        <w:t xml:space="preserve"> </w:t>
      </w:r>
      <w:r>
        <w:rPr>
          <w:rStyle w:val="Heading2Char"/>
          <w:rFonts w:ascii="Arial" w:hAnsi="Arial" w:cs="Arial"/>
          <w:b/>
          <w:bCs/>
        </w:rPr>
        <w:t>REFUSE</w:t>
      </w:r>
    </w:p>
    <w:p w14:paraId="02E798F0" w14:textId="77777777" w:rsidR="007401DF" w:rsidRPr="004804F2" w:rsidRDefault="007401DF" w:rsidP="002628E8">
      <w:pPr>
        <w:pStyle w:val="Heading2"/>
        <w:spacing w:line="240" w:lineRule="auto"/>
        <w:rPr>
          <w:rFonts w:ascii="Arial" w:hAnsi="Arial" w:cs="Arial"/>
        </w:rPr>
      </w:pPr>
      <w:bookmarkStart w:id="23" w:name="_Toc143157999"/>
      <w:bookmarkStart w:id="24" w:name="_Hlk138938938"/>
      <w:r w:rsidRPr="004804F2">
        <w:rPr>
          <w:rFonts w:ascii="Arial" w:hAnsi="Arial" w:cs="Arial"/>
        </w:rPr>
        <w:t>Article 35 Declaration</w:t>
      </w:r>
      <w:bookmarkEnd w:id="23"/>
    </w:p>
    <w:bookmarkEnd w:id="24"/>
    <w:p w14:paraId="7EEE08DB" w14:textId="77777777" w:rsidR="007401DF" w:rsidRPr="004804F2" w:rsidRDefault="007401DF" w:rsidP="002628E8">
      <w:pPr>
        <w:spacing w:line="240" w:lineRule="auto"/>
        <w:rPr>
          <w:rFonts w:ascii="Arial" w:hAnsi="Arial" w:cs="Arial"/>
          <w:szCs w:val="24"/>
        </w:rPr>
      </w:pPr>
      <w:r w:rsidRPr="004804F2">
        <w:rPr>
          <w:rFonts w:ascii="Arial" w:hAnsi="Arial" w:cs="Arial"/>
          <w:szCs w:val="24"/>
        </w:rPr>
        <w:t>The application has been determined within the statutory timescale. In this instance the principle of the application proposal is contrary to the adopted development plan and are not considered to improve the economic, social or environmental conditions of the area. It is not considered, in this instance, that amendments could be made that would make them acceptable. The applicant's agent was informed of these concerns prior to the determination of the application.</w:t>
      </w:r>
    </w:p>
    <w:p w14:paraId="55AD5900" w14:textId="2289901A" w:rsidR="00816272" w:rsidRPr="007401DF" w:rsidRDefault="007401DF" w:rsidP="007401DF">
      <w:pPr>
        <w:pStyle w:val="Heading1"/>
        <w:spacing w:line="240" w:lineRule="auto"/>
        <w:rPr>
          <w:rFonts w:ascii="Arial" w:hAnsi="Arial" w:cs="Arial"/>
        </w:rPr>
      </w:pPr>
      <w:bookmarkStart w:id="25" w:name="_Toc143158000"/>
      <w:bookmarkStart w:id="26" w:name="_Hlk139369284"/>
      <w:r w:rsidRPr="00EB5A7D">
        <w:rPr>
          <w:rFonts w:ascii="Arial" w:hAnsi="Arial" w:cs="Arial"/>
        </w:rPr>
        <w:t>Reasons for recommendation to refuse</w:t>
      </w:r>
      <w:bookmarkEnd w:id="25"/>
      <w:bookmarkEnd w:id="26"/>
    </w:p>
    <w:p w14:paraId="7FE048A0" w14:textId="4BCBAA16" w:rsidR="00816272" w:rsidRDefault="007401DF" w:rsidP="007401DF">
      <w:pPr>
        <w:pStyle w:val="Heading2"/>
        <w:numPr>
          <w:ilvl w:val="0"/>
          <w:numId w:val="12"/>
        </w:numPr>
      </w:pPr>
      <w:r>
        <w:t>Intensification</w:t>
      </w:r>
      <w:r w:rsidR="00376314">
        <w:t xml:space="preserve"> of use (Policy H11)</w:t>
      </w:r>
    </w:p>
    <w:p w14:paraId="57F499A2" w14:textId="57B37754" w:rsidR="005C02B9" w:rsidRPr="00A331F9" w:rsidRDefault="00010BC4" w:rsidP="00010BC4">
      <w:pPr>
        <w:ind w:left="720"/>
        <w:jc w:val="left"/>
      </w:pPr>
      <w:r w:rsidRPr="00010BC4">
        <w:t>The proposed development would facilitate the creation of an additional bedroom within an existing House in Multiple Occupation and would increase the level of occupation of the property from five to six residents. The site is located within an area of high concentration of Houses in Multiple Occupation. As the proposal would reasonably be expected to result in an increase in the level of occupation, it is contrary to Policy H11 of the Manchester Core Strategy, which states that in areas of high concentration extensions to HMOs will not be permitted where they could reasonably be expected to lead to an increase in the level of occupation. The proposal is therefore contrary to Policy H11 of the Manchester Core Strategy 2012-2027.</w:t>
      </w:r>
    </w:p>
    <w:sectPr w:rsidR="005C02B9" w:rsidRPr="00A331F9" w:rsidSect="00D3474F">
      <w:headerReference w:type="even" r:id="rId17"/>
      <w:headerReference w:type="default" r:id="rId18"/>
      <w:footerReference w:type="even" r:id="rId19"/>
      <w:footerReference w:type="default" r:id="rId20"/>
      <w:headerReference w:type="first" r:id="rId21"/>
      <w:footerReference w:type="first" r:id="rId22"/>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0201C" w14:textId="77777777" w:rsidR="004303F5" w:rsidRDefault="004303F5" w:rsidP="007A38CA">
      <w:pPr>
        <w:spacing w:after="0" w:line="240" w:lineRule="auto"/>
      </w:pPr>
      <w:r>
        <w:separator/>
      </w:r>
    </w:p>
  </w:endnote>
  <w:endnote w:type="continuationSeparator" w:id="0">
    <w:p w14:paraId="2D7D4CB8" w14:textId="77777777" w:rsidR="004303F5" w:rsidRDefault="004303F5" w:rsidP="007A3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97EEA" w14:textId="77777777" w:rsidR="007A38CA" w:rsidRDefault="007A38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81A17" w14:textId="77777777" w:rsidR="007A38CA" w:rsidRDefault="007A38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5C916" w14:textId="77777777" w:rsidR="007A38CA" w:rsidRDefault="007A38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C5E60" w14:textId="77777777" w:rsidR="004303F5" w:rsidRDefault="004303F5" w:rsidP="007A38CA">
      <w:pPr>
        <w:spacing w:after="0" w:line="240" w:lineRule="auto"/>
      </w:pPr>
      <w:r>
        <w:separator/>
      </w:r>
    </w:p>
  </w:footnote>
  <w:footnote w:type="continuationSeparator" w:id="0">
    <w:p w14:paraId="70A552AA" w14:textId="77777777" w:rsidR="004303F5" w:rsidRDefault="004303F5" w:rsidP="007A38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08EEA" w14:textId="77777777" w:rsidR="007A38CA" w:rsidRDefault="007A38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85C31" w14:textId="78DDD4E3" w:rsidR="007A38CA" w:rsidRDefault="007A38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677B" w14:textId="77777777" w:rsidR="007A38CA" w:rsidRDefault="007A38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864F5"/>
    <w:multiLevelType w:val="hybridMultilevel"/>
    <w:tmpl w:val="E73EC2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B7563B"/>
    <w:multiLevelType w:val="hybridMultilevel"/>
    <w:tmpl w:val="BDC81B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7D64FB"/>
    <w:multiLevelType w:val="hybridMultilevel"/>
    <w:tmpl w:val="62F0EC3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AE72A7"/>
    <w:multiLevelType w:val="hybridMultilevel"/>
    <w:tmpl w:val="82F8E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865C22"/>
    <w:multiLevelType w:val="hybridMultilevel"/>
    <w:tmpl w:val="B1A4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F3D1F85"/>
    <w:multiLevelType w:val="hybridMultilevel"/>
    <w:tmpl w:val="BC1022A4"/>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8"/>
  </w:num>
  <w:num w:numId="2" w16cid:durableId="155417475">
    <w:abstractNumId w:val="4"/>
  </w:num>
  <w:num w:numId="3" w16cid:durableId="1743523982">
    <w:abstractNumId w:val="10"/>
  </w:num>
  <w:num w:numId="4" w16cid:durableId="479078163">
    <w:abstractNumId w:val="7"/>
  </w:num>
  <w:num w:numId="5" w16cid:durableId="257520763">
    <w:abstractNumId w:val="12"/>
  </w:num>
  <w:num w:numId="6" w16cid:durableId="800341261">
    <w:abstractNumId w:val="9"/>
  </w:num>
  <w:num w:numId="7" w16cid:durableId="526600128">
    <w:abstractNumId w:val="5"/>
  </w:num>
  <w:num w:numId="8" w16cid:durableId="999576072">
    <w:abstractNumId w:val="6"/>
  </w:num>
  <w:num w:numId="9" w16cid:durableId="1969815655">
    <w:abstractNumId w:val="2"/>
  </w:num>
  <w:num w:numId="10" w16cid:durableId="1363050247">
    <w:abstractNumId w:val="11"/>
  </w:num>
  <w:num w:numId="11" w16cid:durableId="1112047243">
    <w:abstractNumId w:val="0"/>
  </w:num>
  <w:num w:numId="12" w16cid:durableId="792407868">
    <w:abstractNumId w:val="1"/>
  </w:num>
  <w:num w:numId="13" w16cid:durableId="2635404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5551"/>
    <w:rsid w:val="00010BC4"/>
    <w:rsid w:val="00031618"/>
    <w:rsid w:val="00034744"/>
    <w:rsid w:val="00061E2B"/>
    <w:rsid w:val="00084AA5"/>
    <w:rsid w:val="000E6283"/>
    <w:rsid w:val="001313FE"/>
    <w:rsid w:val="001375D3"/>
    <w:rsid w:val="001451B4"/>
    <w:rsid w:val="001662A9"/>
    <w:rsid w:val="00175439"/>
    <w:rsid w:val="001A720A"/>
    <w:rsid w:val="001C7FF5"/>
    <w:rsid w:val="001E79EB"/>
    <w:rsid w:val="002202D8"/>
    <w:rsid w:val="0022656F"/>
    <w:rsid w:val="00245DCE"/>
    <w:rsid w:val="002536EB"/>
    <w:rsid w:val="00262BCE"/>
    <w:rsid w:val="00264A72"/>
    <w:rsid w:val="00271DE1"/>
    <w:rsid w:val="00274422"/>
    <w:rsid w:val="002912E6"/>
    <w:rsid w:val="002A509A"/>
    <w:rsid w:val="002A5313"/>
    <w:rsid w:val="002C459D"/>
    <w:rsid w:val="0032349F"/>
    <w:rsid w:val="00327F06"/>
    <w:rsid w:val="003305E0"/>
    <w:rsid w:val="00364B5D"/>
    <w:rsid w:val="00376314"/>
    <w:rsid w:val="003C2867"/>
    <w:rsid w:val="003E4005"/>
    <w:rsid w:val="003F3C12"/>
    <w:rsid w:val="004161DA"/>
    <w:rsid w:val="004303F5"/>
    <w:rsid w:val="0044339A"/>
    <w:rsid w:val="00463A9F"/>
    <w:rsid w:val="00467C0E"/>
    <w:rsid w:val="004858CD"/>
    <w:rsid w:val="00487841"/>
    <w:rsid w:val="00493446"/>
    <w:rsid w:val="00493DF5"/>
    <w:rsid w:val="004F20B2"/>
    <w:rsid w:val="00510552"/>
    <w:rsid w:val="00520209"/>
    <w:rsid w:val="005718D0"/>
    <w:rsid w:val="005A2B5B"/>
    <w:rsid w:val="005A7FFA"/>
    <w:rsid w:val="005C02B9"/>
    <w:rsid w:val="005C2A4F"/>
    <w:rsid w:val="005D51DD"/>
    <w:rsid w:val="0060008F"/>
    <w:rsid w:val="006175C6"/>
    <w:rsid w:val="00640714"/>
    <w:rsid w:val="00654330"/>
    <w:rsid w:val="00663107"/>
    <w:rsid w:val="00663D71"/>
    <w:rsid w:val="006849D5"/>
    <w:rsid w:val="00692861"/>
    <w:rsid w:val="006954E2"/>
    <w:rsid w:val="006B1081"/>
    <w:rsid w:val="006B3B30"/>
    <w:rsid w:val="006E0A90"/>
    <w:rsid w:val="006F7F26"/>
    <w:rsid w:val="0070357C"/>
    <w:rsid w:val="00705649"/>
    <w:rsid w:val="007401DF"/>
    <w:rsid w:val="007524AB"/>
    <w:rsid w:val="00761F8A"/>
    <w:rsid w:val="00766BE7"/>
    <w:rsid w:val="00770E40"/>
    <w:rsid w:val="00784242"/>
    <w:rsid w:val="007901E8"/>
    <w:rsid w:val="00793F0A"/>
    <w:rsid w:val="007A38CA"/>
    <w:rsid w:val="008057CA"/>
    <w:rsid w:val="00810556"/>
    <w:rsid w:val="00816272"/>
    <w:rsid w:val="00832CC0"/>
    <w:rsid w:val="00845B59"/>
    <w:rsid w:val="00856E0E"/>
    <w:rsid w:val="00871882"/>
    <w:rsid w:val="008D5E14"/>
    <w:rsid w:val="008E7212"/>
    <w:rsid w:val="009349DD"/>
    <w:rsid w:val="009670D7"/>
    <w:rsid w:val="00970B8E"/>
    <w:rsid w:val="00982188"/>
    <w:rsid w:val="00987039"/>
    <w:rsid w:val="00A04F27"/>
    <w:rsid w:val="00A0799D"/>
    <w:rsid w:val="00A331F9"/>
    <w:rsid w:val="00A40D82"/>
    <w:rsid w:val="00A773FD"/>
    <w:rsid w:val="00A82292"/>
    <w:rsid w:val="00AD3AB2"/>
    <w:rsid w:val="00AD61E8"/>
    <w:rsid w:val="00B17001"/>
    <w:rsid w:val="00B2587B"/>
    <w:rsid w:val="00B25ED1"/>
    <w:rsid w:val="00B30C86"/>
    <w:rsid w:val="00B37A2B"/>
    <w:rsid w:val="00B4445D"/>
    <w:rsid w:val="00B724CA"/>
    <w:rsid w:val="00B75EB9"/>
    <w:rsid w:val="00BA1D7F"/>
    <w:rsid w:val="00BA5A45"/>
    <w:rsid w:val="00BB080B"/>
    <w:rsid w:val="00BD216A"/>
    <w:rsid w:val="00BE7747"/>
    <w:rsid w:val="00C07443"/>
    <w:rsid w:val="00C35CCD"/>
    <w:rsid w:val="00C573B6"/>
    <w:rsid w:val="00C62A32"/>
    <w:rsid w:val="00CA1DB0"/>
    <w:rsid w:val="00CA2B2C"/>
    <w:rsid w:val="00CE1CD9"/>
    <w:rsid w:val="00CF1C3E"/>
    <w:rsid w:val="00CF74CA"/>
    <w:rsid w:val="00D109FC"/>
    <w:rsid w:val="00D21FE0"/>
    <w:rsid w:val="00D34602"/>
    <w:rsid w:val="00D3474F"/>
    <w:rsid w:val="00D66B55"/>
    <w:rsid w:val="00D73A5C"/>
    <w:rsid w:val="00DA01EC"/>
    <w:rsid w:val="00E0137E"/>
    <w:rsid w:val="00E10485"/>
    <w:rsid w:val="00E1769F"/>
    <w:rsid w:val="00E22627"/>
    <w:rsid w:val="00E2575F"/>
    <w:rsid w:val="00E34D56"/>
    <w:rsid w:val="00E4604F"/>
    <w:rsid w:val="00E56688"/>
    <w:rsid w:val="00E6232D"/>
    <w:rsid w:val="00E700C7"/>
    <w:rsid w:val="00E928DC"/>
    <w:rsid w:val="00ED39FB"/>
    <w:rsid w:val="00ED5A87"/>
    <w:rsid w:val="00EE0337"/>
    <w:rsid w:val="00EF3E10"/>
    <w:rsid w:val="00F37EAE"/>
    <w:rsid w:val="00F404F6"/>
    <w:rsid w:val="00F62BF5"/>
    <w:rsid w:val="00F736CA"/>
    <w:rsid w:val="00F96A58"/>
    <w:rsid w:val="00FC368B"/>
    <w:rsid w:val="00FF28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8CA"/>
  </w:style>
  <w:style w:type="paragraph" w:styleId="Heading1">
    <w:name w:val="heading 1"/>
    <w:basedOn w:val="Normal"/>
    <w:next w:val="Normal"/>
    <w:link w:val="Heading1Char"/>
    <w:uiPriority w:val="9"/>
    <w:qFormat/>
    <w:rsid w:val="007A38CA"/>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7A38CA"/>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7A38CA"/>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7A38CA"/>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7A38CA"/>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7A38CA"/>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7A38CA"/>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7A38CA"/>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7A38CA"/>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38CA"/>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7A38CA"/>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7A38CA"/>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7A38CA"/>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7A38CA"/>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7A38CA"/>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7A38CA"/>
    <w:rPr>
      <w:i/>
      <w:iCs/>
    </w:rPr>
  </w:style>
  <w:style w:type="character" w:customStyle="1" w:styleId="Heading8Char">
    <w:name w:val="Heading 8 Char"/>
    <w:basedOn w:val="DefaultParagraphFont"/>
    <w:link w:val="Heading8"/>
    <w:uiPriority w:val="9"/>
    <w:semiHidden/>
    <w:rsid w:val="007A38CA"/>
    <w:rPr>
      <w:b/>
      <w:bCs/>
    </w:rPr>
  </w:style>
  <w:style w:type="character" w:customStyle="1" w:styleId="Heading9Char">
    <w:name w:val="Heading 9 Char"/>
    <w:basedOn w:val="DefaultParagraphFont"/>
    <w:link w:val="Heading9"/>
    <w:uiPriority w:val="9"/>
    <w:semiHidden/>
    <w:rsid w:val="007A38CA"/>
    <w:rPr>
      <w:i/>
      <w:iCs/>
    </w:rPr>
  </w:style>
  <w:style w:type="paragraph" w:styleId="Title">
    <w:name w:val="Title"/>
    <w:basedOn w:val="Normal"/>
    <w:next w:val="Normal"/>
    <w:link w:val="TitleChar"/>
    <w:uiPriority w:val="10"/>
    <w:qFormat/>
    <w:rsid w:val="007A38CA"/>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7A38CA"/>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7A38CA"/>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A38CA"/>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7A38CA"/>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7A38CA"/>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7A38CA"/>
    <w:rPr>
      <w:b/>
      <w:bCs/>
      <w:i/>
      <w:iCs/>
      <w:color w:val="auto"/>
    </w:rPr>
  </w:style>
  <w:style w:type="paragraph" w:styleId="IntenseQuote">
    <w:name w:val="Intense Quote"/>
    <w:basedOn w:val="Normal"/>
    <w:next w:val="Normal"/>
    <w:link w:val="IntenseQuoteChar"/>
    <w:uiPriority w:val="30"/>
    <w:qFormat/>
    <w:rsid w:val="007A38CA"/>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7A38CA"/>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7A38CA"/>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A38CA"/>
    <w:pPr>
      <w:tabs>
        <w:tab w:val="center" w:pos="4513"/>
        <w:tab w:val="right" w:pos="9026"/>
      </w:tabs>
    </w:pPr>
  </w:style>
  <w:style w:type="character" w:customStyle="1" w:styleId="HeaderChar">
    <w:name w:val="Header Char"/>
    <w:basedOn w:val="DefaultParagraphFont"/>
    <w:link w:val="Header"/>
    <w:uiPriority w:val="99"/>
    <w:rsid w:val="007A38CA"/>
    <w:rPr>
      <w:rFonts w:ascii="Arial" w:hAnsi="Arial"/>
    </w:rPr>
  </w:style>
  <w:style w:type="paragraph" w:styleId="Footer">
    <w:name w:val="footer"/>
    <w:basedOn w:val="Normal"/>
    <w:link w:val="FooterChar"/>
    <w:uiPriority w:val="99"/>
    <w:unhideWhenUsed/>
    <w:rsid w:val="007A38CA"/>
    <w:pPr>
      <w:tabs>
        <w:tab w:val="center" w:pos="4513"/>
        <w:tab w:val="right" w:pos="9026"/>
      </w:tabs>
    </w:pPr>
  </w:style>
  <w:style w:type="character" w:customStyle="1" w:styleId="FooterChar">
    <w:name w:val="Footer Char"/>
    <w:basedOn w:val="DefaultParagraphFont"/>
    <w:link w:val="Footer"/>
    <w:uiPriority w:val="99"/>
    <w:rsid w:val="007A38CA"/>
    <w:rPr>
      <w:rFonts w:ascii="Arial" w:hAnsi="Arial"/>
    </w:rPr>
  </w:style>
  <w:style w:type="paragraph" w:styleId="Caption">
    <w:name w:val="caption"/>
    <w:basedOn w:val="Normal"/>
    <w:next w:val="Normal"/>
    <w:uiPriority w:val="35"/>
    <w:unhideWhenUsed/>
    <w:qFormat/>
    <w:rsid w:val="007A38CA"/>
    <w:rPr>
      <w:b/>
      <w:bCs/>
      <w:sz w:val="18"/>
      <w:szCs w:val="18"/>
    </w:rPr>
  </w:style>
  <w:style w:type="character" w:styleId="Strong">
    <w:name w:val="Strong"/>
    <w:basedOn w:val="DefaultParagraphFont"/>
    <w:uiPriority w:val="22"/>
    <w:qFormat/>
    <w:rsid w:val="007A38CA"/>
    <w:rPr>
      <w:b/>
      <w:bCs/>
      <w:color w:val="auto"/>
    </w:rPr>
  </w:style>
  <w:style w:type="character" w:styleId="Emphasis">
    <w:name w:val="Emphasis"/>
    <w:basedOn w:val="DefaultParagraphFont"/>
    <w:uiPriority w:val="20"/>
    <w:qFormat/>
    <w:rsid w:val="007A38CA"/>
    <w:rPr>
      <w:i/>
      <w:iCs/>
      <w:color w:val="auto"/>
    </w:rPr>
  </w:style>
  <w:style w:type="paragraph" w:styleId="NoSpacing">
    <w:name w:val="No Spacing"/>
    <w:uiPriority w:val="1"/>
    <w:qFormat/>
    <w:rsid w:val="007A38CA"/>
    <w:pPr>
      <w:spacing w:after="0" w:line="240" w:lineRule="auto"/>
    </w:pPr>
  </w:style>
  <w:style w:type="character" w:styleId="SubtleEmphasis">
    <w:name w:val="Subtle Emphasis"/>
    <w:basedOn w:val="DefaultParagraphFont"/>
    <w:uiPriority w:val="19"/>
    <w:qFormat/>
    <w:rsid w:val="007A38CA"/>
    <w:rPr>
      <w:i/>
      <w:iCs/>
      <w:color w:val="auto"/>
    </w:rPr>
  </w:style>
  <w:style w:type="character" w:styleId="SubtleReference">
    <w:name w:val="Subtle Reference"/>
    <w:basedOn w:val="DefaultParagraphFont"/>
    <w:uiPriority w:val="31"/>
    <w:qFormat/>
    <w:rsid w:val="007A38CA"/>
    <w:rPr>
      <w:smallCaps/>
      <w:color w:val="auto"/>
      <w:u w:val="single" w:color="7F7F7F" w:themeColor="text1" w:themeTint="80"/>
    </w:rPr>
  </w:style>
  <w:style w:type="character" w:styleId="BookTitle">
    <w:name w:val="Book Title"/>
    <w:basedOn w:val="DefaultParagraphFont"/>
    <w:uiPriority w:val="33"/>
    <w:qFormat/>
    <w:rsid w:val="007A38CA"/>
    <w:rPr>
      <w:b/>
      <w:bCs/>
      <w:smallCaps/>
      <w:color w:val="auto"/>
    </w:rPr>
  </w:style>
  <w:style w:type="paragraph" w:styleId="TOCHeading">
    <w:name w:val="TOC Heading"/>
    <w:basedOn w:val="Heading1"/>
    <w:next w:val="Normal"/>
    <w:uiPriority w:val="39"/>
    <w:semiHidden/>
    <w:unhideWhenUsed/>
    <w:qFormat/>
    <w:rsid w:val="007A38CA"/>
    <w:pPr>
      <w:outlineLvl w:val="9"/>
    </w:pPr>
  </w:style>
  <w:style w:type="character" w:styleId="Hyperlink">
    <w:name w:val="Hyperlink"/>
    <w:basedOn w:val="DefaultParagraphFont"/>
    <w:uiPriority w:val="99"/>
    <w:unhideWhenUsed/>
    <w:rsid w:val="00D21FE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23"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23F92D0-C108-463A-B73A-0EDB9FD4E62D}">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FFA97B-2D55-4C29-A46B-06D041B2BF7C}">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CDC39868-8208-40A1-9E24-97AB9015FFC9}">
  <ds:schemaRefs>
    <ds:schemaRef ds:uri="http://schemas.microsoft.com/sharepoint/v3/contenttype/forms"/>
  </ds:schemaRefs>
</ds:datastoreItem>
</file>

<file path=customXml/itemProps3.xml><?xml version="1.0" encoding="utf-8"?>
<ds:datastoreItem xmlns:ds="http://schemas.openxmlformats.org/officeDocument/2006/customXml" ds:itemID="{D3893B5C-2D10-4787-9B4A-DC4CD25428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10</Pages>
  <Words>3959</Words>
  <Characters>22345</Characters>
  <Application>Microsoft Office Word</Application>
  <DocSecurity>4</DocSecurity>
  <Lines>379</Lines>
  <Paragraphs>186</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salesforceId:6a7f5e00-fada-4fa7-8bdd-09324c3dd50f</dc:subject>
  <dc:creator>Anthony Moore</dc:creator>
  <cp:keywords/>
  <dc:description/>
  <cp:lastModifiedBy>Joshua Lee</cp:lastModifiedBy>
  <cp:revision>88</cp:revision>
  <dcterms:created xsi:type="dcterms:W3CDTF">2026-07-21T10:45:00Z</dcterms:created>
  <dcterms:modified xsi:type="dcterms:W3CDTF">2026-10-12T12:33:00Z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069Sl00000bWJiDIAW</vt:lpwstr>
  </property>
  <property fmtid="{D5CDD505-2E9C-101B-9397-08002B2CF9AE}" pid="3" name="Order">
    <vt:r8>2384200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