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97C1" w14:textId="77777777" w:rsidR="009E0A24" w:rsidRPr="009E0A24" w:rsidRDefault="009E0A24" w:rsidP="009E0A24">
      <w:pPr>
        <w:spacing w:after="240" w:line="690" w:lineRule="atLeast"/>
        <w:outlineLvl w:val="0"/>
        <w:rPr>
          <w:rFonts w:ascii="inherit" w:eastAsia="Times New Roman" w:hAnsi="inherit" w:cs="Times New Roman"/>
          <w:b/>
          <w:bCs/>
          <w:spacing w:val="-26"/>
          <w:kern w:val="36"/>
          <w:sz w:val="51"/>
          <w:szCs w:val="51"/>
          <w:lang w:eastAsia="en-GB"/>
          <w14:ligatures w14:val="none"/>
        </w:rPr>
      </w:pPr>
      <w:r w:rsidRPr="009E0A24">
        <w:rPr>
          <w:rFonts w:ascii="inherit" w:eastAsia="Times New Roman" w:hAnsi="inherit" w:cs="Times New Roman"/>
          <w:b/>
          <w:bCs/>
          <w:spacing w:val="-26"/>
          <w:kern w:val="36"/>
          <w:sz w:val="51"/>
          <w:szCs w:val="51"/>
          <w:lang w:eastAsia="en-GB"/>
          <w14:ligatures w14:val="none"/>
        </w:rPr>
        <w:t>Heras Fencing</w:t>
      </w:r>
    </w:p>
    <w:p w14:paraId="133B5EE8" w14:textId="50814B19" w:rsidR="009E0A24" w:rsidRPr="00D94091" w:rsidRDefault="009E0A24" w:rsidP="00D94091">
      <w:pPr>
        <w:spacing w:after="30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E0A2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Whether you call it Heras fencing or Harris fencing, </w:t>
      </w:r>
      <w:hyperlink r:id="rId5" w:history="1">
        <w:r w:rsidRPr="009E0A24">
          <w:rPr>
            <w:rFonts w:ascii="Times New Roman" w:eastAsia="Times New Roman" w:hAnsi="Times New Roman" w:cs="Times New Roman"/>
            <w:color w:val="377CFD"/>
            <w:kern w:val="0"/>
            <w:u w:val="single"/>
            <w:lang w:eastAsia="en-GB"/>
            <w14:ligatures w14:val="none"/>
          </w:rPr>
          <w:t>Blok ‘N’ Mesh</w:t>
        </w:r>
      </w:hyperlink>
      <w:r w:rsidRPr="009E0A2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offers a range of Heras temporary fencing panels and sets available for hire or sale, delivered directly to your site.</w:t>
      </w:r>
      <w:r w:rsidRPr="009E0A24">
        <w:rPr>
          <w:rFonts w:ascii="Open Sans" w:eastAsia="Times New Roman" w:hAnsi="Open Sans" w:cs="Open Sans"/>
          <w:color w:val="071E4E"/>
          <w:spacing w:val="-13"/>
          <w:kern w:val="0"/>
          <w:sz w:val="26"/>
          <w:szCs w:val="26"/>
          <w:lang w:eastAsia="en-GB"/>
          <w14:ligatures w14:val="none"/>
        </w:rPr>
        <w:fldChar w:fldCharType="begin"/>
      </w:r>
      <w:r w:rsidRPr="009E0A24">
        <w:rPr>
          <w:rFonts w:ascii="Open Sans" w:eastAsia="Times New Roman" w:hAnsi="Open Sans" w:cs="Open Sans"/>
          <w:color w:val="071E4E"/>
          <w:spacing w:val="-13"/>
          <w:kern w:val="0"/>
          <w:sz w:val="26"/>
          <w:szCs w:val="26"/>
          <w:lang w:eastAsia="en-GB"/>
          <w14:ligatures w14:val="none"/>
        </w:rPr>
        <w:instrText>HYPERLINK "https://www.bloknmesh.com/product/temporary-fencing/temporary-fence-panels/standard-temporary-fencing-set/"</w:instrText>
      </w:r>
      <w:r w:rsidRPr="009E0A24">
        <w:rPr>
          <w:rFonts w:ascii="Open Sans" w:eastAsia="Times New Roman" w:hAnsi="Open Sans" w:cs="Open Sans"/>
          <w:color w:val="071E4E"/>
          <w:spacing w:val="-13"/>
          <w:kern w:val="0"/>
          <w:sz w:val="26"/>
          <w:szCs w:val="26"/>
          <w:lang w:eastAsia="en-GB"/>
          <w14:ligatures w14:val="none"/>
        </w:rPr>
      </w:r>
      <w:r w:rsidRPr="009E0A24">
        <w:rPr>
          <w:rFonts w:ascii="Open Sans" w:eastAsia="Times New Roman" w:hAnsi="Open Sans" w:cs="Open Sans"/>
          <w:color w:val="071E4E"/>
          <w:spacing w:val="-13"/>
          <w:kern w:val="0"/>
          <w:sz w:val="26"/>
          <w:szCs w:val="26"/>
          <w:lang w:eastAsia="en-GB"/>
          <w14:ligatures w14:val="none"/>
        </w:rPr>
        <w:fldChar w:fldCharType="separate"/>
      </w:r>
    </w:p>
    <w:p w14:paraId="67B4AD57" w14:textId="77777777" w:rsidR="009E0A24" w:rsidRPr="009E0A24" w:rsidRDefault="009E0A24" w:rsidP="009E0A24">
      <w:pPr>
        <w:shd w:val="clear" w:color="auto" w:fill="FFFFFF"/>
        <w:spacing w:after="100" w:afterAutospacing="1" w:line="42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E0A24">
        <w:rPr>
          <w:rFonts w:ascii="Open Sans" w:eastAsia="Times New Roman" w:hAnsi="Open Sans" w:cs="Open Sans"/>
          <w:noProof/>
          <w:color w:val="377CFD"/>
          <w:spacing w:val="-13"/>
          <w:kern w:val="0"/>
          <w:sz w:val="26"/>
          <w:szCs w:val="26"/>
          <w:lang w:eastAsia="en-GB"/>
          <w14:ligatures w14:val="none"/>
        </w:rPr>
        <w:drawing>
          <wp:inline distT="0" distB="0" distL="0" distR="0" wp14:anchorId="6E6500CA" wp14:editId="790F7509">
            <wp:extent cx="5657815" cy="5400000"/>
            <wp:effectExtent l="0" t="0" r="635" b="0"/>
            <wp:docPr id="41" name="Picture 15" descr="Standard Temporary Fencing Se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tandard Temporary Fencing Se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555" cy="541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AD240" w14:textId="77777777" w:rsidR="009E0A24" w:rsidRPr="009E0A24" w:rsidRDefault="009E0A24" w:rsidP="009E0A24">
      <w:pPr>
        <w:shd w:val="clear" w:color="auto" w:fill="FFFFFF"/>
        <w:spacing w:before="255" w:after="0" w:line="360" w:lineRule="atLeast"/>
        <w:ind w:left="720"/>
        <w:outlineLvl w:val="1"/>
        <w:rPr>
          <w:rFonts w:ascii="inherit" w:eastAsia="Times New Roman" w:hAnsi="inherit" w:cs="Open Sans"/>
          <w:b/>
          <w:bCs/>
          <w:color w:val="071E4E"/>
          <w:spacing w:val="-15"/>
          <w:kern w:val="0"/>
          <w:sz w:val="30"/>
          <w:szCs w:val="30"/>
          <w:u w:val="single"/>
          <w:lang w:eastAsia="en-GB"/>
          <w14:ligatures w14:val="none"/>
        </w:rPr>
      </w:pPr>
      <w:r w:rsidRPr="009E0A24">
        <w:rPr>
          <w:rFonts w:ascii="inherit" w:eastAsia="Times New Roman" w:hAnsi="inherit" w:cs="Open Sans"/>
          <w:b/>
          <w:bCs/>
          <w:color w:val="071E4E"/>
          <w:spacing w:val="-15"/>
          <w:kern w:val="0"/>
          <w:sz w:val="30"/>
          <w:szCs w:val="30"/>
          <w:u w:val="single"/>
          <w:lang w:eastAsia="en-GB"/>
          <w14:ligatures w14:val="none"/>
        </w:rPr>
        <w:t>Standard Temporary Fencing Set</w:t>
      </w:r>
    </w:p>
    <w:p w14:paraId="7C11514B" w14:textId="3400ABBA" w:rsidR="00D94091" w:rsidRPr="00522F95" w:rsidRDefault="009E0A24" w:rsidP="00D94091">
      <w:pPr>
        <w:shd w:val="clear" w:color="auto" w:fill="FFFFFF"/>
        <w:spacing w:before="255" w:after="0" w:line="360" w:lineRule="atLeast"/>
        <w:ind w:left="720"/>
        <w:outlineLvl w:val="1"/>
        <w:rPr>
          <w:rFonts w:ascii="Open Sans" w:eastAsia="Times New Roman" w:hAnsi="Open Sans" w:cs="Open Sans"/>
          <w:b/>
          <w:bCs/>
          <w:color w:val="071E4E"/>
          <w:spacing w:val="-13"/>
          <w:kern w:val="0"/>
          <w:sz w:val="26"/>
          <w:szCs w:val="26"/>
          <w:u w:val="single"/>
          <w:lang w:eastAsia="en-GB"/>
          <w14:ligatures w14:val="none"/>
        </w:rPr>
      </w:pPr>
      <w:r w:rsidRPr="009E0A24">
        <w:rPr>
          <w:rFonts w:ascii="Open Sans" w:eastAsia="Times New Roman" w:hAnsi="Open Sans" w:cs="Open Sans"/>
          <w:color w:val="071E4E"/>
          <w:spacing w:val="-13"/>
          <w:kern w:val="0"/>
          <w:sz w:val="26"/>
          <w:szCs w:val="26"/>
          <w:lang w:eastAsia="en-GB"/>
          <w14:ligatures w14:val="none"/>
        </w:rPr>
        <w:fldChar w:fldCharType="end"/>
      </w:r>
      <w:r w:rsidR="00D94091" w:rsidRPr="00522F95">
        <w:rPr>
          <w:rFonts w:ascii="Open Sans" w:eastAsia="Times New Roman" w:hAnsi="Open Sans" w:cs="Open Sans"/>
          <w:b/>
          <w:bCs/>
          <w:color w:val="071E4E"/>
          <w:spacing w:val="-13"/>
          <w:kern w:val="0"/>
          <w:sz w:val="26"/>
          <w:szCs w:val="26"/>
          <w:u w:val="single"/>
          <w:lang w:eastAsia="en-GB"/>
          <w14:ligatures w14:val="none"/>
        </w:rPr>
        <w:t>Temporary Heras Fencing Support Brace with Pegs – 1.9m</w:t>
      </w:r>
    </w:p>
    <w:p w14:paraId="3210AD74" w14:textId="3F689851" w:rsidR="009E0A24" w:rsidRPr="009E0A24" w:rsidRDefault="009E0A24" w:rsidP="009E0A24">
      <w:pPr>
        <w:shd w:val="clear" w:color="auto" w:fill="FFFFFF"/>
        <w:spacing w:after="0" w:line="420" w:lineRule="atLeast"/>
        <w:ind w:left="720"/>
        <w:rPr>
          <w:rFonts w:ascii="Open Sans" w:eastAsia="Times New Roman" w:hAnsi="Open Sans" w:cs="Open Sans"/>
          <w:color w:val="071E4E"/>
          <w:spacing w:val="-13"/>
          <w:kern w:val="0"/>
          <w:sz w:val="26"/>
          <w:szCs w:val="26"/>
          <w:lang w:eastAsia="en-GB"/>
          <w14:ligatures w14:val="none"/>
        </w:rPr>
      </w:pPr>
    </w:p>
    <w:p w14:paraId="2FAEDD22" w14:textId="77777777" w:rsidR="00A515CF" w:rsidRDefault="00A515CF"/>
    <w:sectPr w:rsidR="00A51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40591"/>
    <w:multiLevelType w:val="multilevel"/>
    <w:tmpl w:val="614C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79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B7"/>
    <w:rsid w:val="00475DB7"/>
    <w:rsid w:val="00522F95"/>
    <w:rsid w:val="006B48B0"/>
    <w:rsid w:val="009E0A24"/>
    <w:rsid w:val="00A515CF"/>
    <w:rsid w:val="00D94091"/>
    <w:rsid w:val="00F8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793C"/>
  <w15:chartTrackingRefBased/>
  <w15:docId w15:val="{BF6C7DEE-DF31-4474-B7D8-9AE0CA4F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D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D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D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D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D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D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D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D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D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D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D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loknmesh.com/product/temporary-fencing/temporary-fence-panels/standard-temporary-fencing-set/" TargetMode="External"/><Relationship Id="rId5" Type="http://schemas.openxmlformats.org/officeDocument/2006/relationships/hyperlink" Target="https://www.bloknmesh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Fairweather-Croke</dc:creator>
  <cp:keywords/>
  <dc:description/>
  <cp:lastModifiedBy>Rose Fairweather-Croke</cp:lastModifiedBy>
  <cp:revision>3</cp:revision>
  <dcterms:created xsi:type="dcterms:W3CDTF">2026-08-03T10:40:00Z</dcterms:created>
  <dcterms:modified xsi:type="dcterms:W3CDTF">2026-08-03T10:51:00Z</dcterms:modified>
</cp:coreProperties>
</file>