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706BF" w14:textId="77777777" w:rsidR="00BE7747" w:rsidRDefault="00D3474F" w:rsidP="00D3474F">
      <w:pPr>
        <w:jc w:val="right"/>
      </w:pPr>
      <w:r>
        <w:rPr>
          <w:noProof/>
        </w:rPr>
        <w:drawing>
          <wp:inline distT="0" distB="0" distL="0" distR="0" wp14:anchorId="667ECDC4" wp14:editId="29A8BAC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69A8B48" w14:textId="77777777" w:rsidR="00D3474F" w:rsidRDefault="00D3474F" w:rsidP="00D3474F">
      <w:pPr>
        <w:pStyle w:val="Title"/>
      </w:pPr>
      <w:r>
        <w:t>Planning</w:t>
      </w:r>
    </w:p>
    <w:p w14:paraId="11DDFDFC" w14:textId="77777777" w:rsidR="00D3474F" w:rsidRDefault="00D3474F" w:rsidP="00D3474F">
      <w:pPr>
        <w:pStyle w:val="Title"/>
      </w:pPr>
      <w:r>
        <w:t>Delegated Officer Report</w:t>
      </w:r>
    </w:p>
    <w:p w14:paraId="0C65623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3C3E19A" w14:textId="77777777" w:rsidTr="003E4005">
        <w:tc>
          <w:tcPr>
            <w:tcW w:w="2830" w:type="dxa"/>
          </w:tcPr>
          <w:p w14:paraId="2874F41A" w14:textId="77777777" w:rsidR="00D3474F" w:rsidRDefault="00D3474F" w:rsidP="00D3474F">
            <w:pPr>
              <w:pStyle w:val="Heading2"/>
            </w:pPr>
            <w:r>
              <w:t>Application reference:</w:t>
            </w:r>
          </w:p>
        </w:tc>
        <w:tc>
          <w:tcPr>
            <w:tcW w:w="7364" w:type="dxa"/>
          </w:tcPr>
          <w:p w14:paraId="29C55E6A" w14:textId="77777777" w:rsidR="00D3474F" w:rsidRDefault="00D3474F" w:rsidP="00D3474F">
            <w:r>
              <w:t>PLA-2026-001088</w:t>
            </w:r>
          </w:p>
        </w:tc>
      </w:tr>
      <w:tr w:rsidR="00D3474F" w14:paraId="5C360D4F" w14:textId="77777777" w:rsidTr="003E4005">
        <w:tc>
          <w:tcPr>
            <w:tcW w:w="2830" w:type="dxa"/>
          </w:tcPr>
          <w:p w14:paraId="5CB2834C" w14:textId="77777777" w:rsidR="00D3474F" w:rsidRDefault="00D3474F" w:rsidP="00D3474F">
            <w:pPr>
              <w:pStyle w:val="Heading2"/>
            </w:pPr>
            <w:r>
              <w:t>Application type:</w:t>
            </w:r>
          </w:p>
        </w:tc>
        <w:tc>
          <w:tcPr>
            <w:tcW w:w="7364" w:type="dxa"/>
          </w:tcPr>
          <w:p w14:paraId="4763D6D9" w14:textId="77777777" w:rsidR="00D3474F" w:rsidRDefault="003E4005" w:rsidP="00D3474F">
            <w:r>
              <w:t>Lawful development: Existing use</w:t>
            </w:r>
          </w:p>
        </w:tc>
      </w:tr>
      <w:tr w:rsidR="00D3474F" w14:paraId="7749F164" w14:textId="77777777" w:rsidTr="003E4005">
        <w:tc>
          <w:tcPr>
            <w:tcW w:w="2830" w:type="dxa"/>
          </w:tcPr>
          <w:p w14:paraId="20A97EAC" w14:textId="77777777" w:rsidR="00D3474F" w:rsidRDefault="00D3474F" w:rsidP="00D3474F">
            <w:pPr>
              <w:pStyle w:val="Heading2"/>
            </w:pPr>
            <w:r>
              <w:t>Proposal:</w:t>
            </w:r>
          </w:p>
        </w:tc>
        <w:tc>
          <w:tcPr>
            <w:tcW w:w="7364" w:type="dxa"/>
          </w:tcPr>
          <w:p w14:paraId="216D4056" w14:textId="77777777" w:rsidR="00D3474F" w:rsidRDefault="00D3474F" w:rsidP="00D3474F">
            <w:r w:rsidRPr="00F01B50">
              <w:rPr>
                <w:rFonts w:cs="Arial"/>
              </w:rPr>
              <w:t>Use of property as a house in multiple occupation (Use Class C4)</w:t>
            </w:r>
          </w:p>
        </w:tc>
      </w:tr>
      <w:tr w:rsidR="00D3474F" w14:paraId="0A2B7520" w14:textId="77777777" w:rsidTr="003E4005">
        <w:tc>
          <w:tcPr>
            <w:tcW w:w="2830" w:type="dxa"/>
          </w:tcPr>
          <w:p w14:paraId="6ABE7479" w14:textId="77777777" w:rsidR="00D3474F" w:rsidRDefault="00D3474F" w:rsidP="00D3474F">
            <w:pPr>
              <w:pStyle w:val="Heading2"/>
            </w:pPr>
            <w:r>
              <w:t>Site address:</w:t>
            </w:r>
          </w:p>
        </w:tc>
        <w:tc>
          <w:tcPr>
            <w:tcW w:w="7364" w:type="dxa"/>
          </w:tcPr>
          <w:p w14:paraId="27873C92" w14:textId="77777777" w:rsidR="00D3474F" w:rsidRDefault="00F96A58" w:rsidP="00D3474F">
            <w:r w:rsidRPr="00F96A58">
              <w:rPr>
                <w:rFonts w:cs="Arial"/>
              </w:rPr>
              <w:t>46 Cavendish Road Manchester M20 1QE</w:t>
            </w:r>
          </w:p>
        </w:tc>
      </w:tr>
      <w:tr w:rsidR="00D3474F" w14:paraId="343365F1" w14:textId="77777777" w:rsidTr="003E4005">
        <w:tc>
          <w:tcPr>
            <w:tcW w:w="2830" w:type="dxa"/>
          </w:tcPr>
          <w:p w14:paraId="4038F610" w14:textId="77777777" w:rsidR="00D3474F" w:rsidRDefault="00D3474F" w:rsidP="00D3474F">
            <w:pPr>
              <w:pStyle w:val="Heading2"/>
            </w:pPr>
            <w:r>
              <w:t>Ward(s):</w:t>
            </w:r>
          </w:p>
        </w:tc>
        <w:tc>
          <w:tcPr>
            <w:tcW w:w="7364" w:type="dxa"/>
          </w:tcPr>
          <w:p w14:paraId="64448872" w14:textId="77777777" w:rsidR="00D3474F" w:rsidRDefault="00D3474F" w:rsidP="00D3474F">
            <w:r w:rsidRPr="00F01B50">
              <w:rPr>
                <w:rFonts w:cs="Arial"/>
                <w:bCs/>
              </w:rPr>
              <w:t>Didsbury West</w:t>
            </w:r>
          </w:p>
        </w:tc>
      </w:tr>
      <w:tr w:rsidR="00D3474F" w14:paraId="74591F9C" w14:textId="77777777" w:rsidTr="003E4005">
        <w:tc>
          <w:tcPr>
            <w:tcW w:w="2830" w:type="dxa"/>
          </w:tcPr>
          <w:p w14:paraId="32DA90F0" w14:textId="77777777" w:rsidR="00D3474F" w:rsidRDefault="00D3474F" w:rsidP="00D3474F">
            <w:pPr>
              <w:pStyle w:val="Heading2"/>
            </w:pPr>
            <w:r>
              <w:t>Date application valid:</w:t>
            </w:r>
          </w:p>
        </w:tc>
        <w:tc>
          <w:tcPr>
            <w:tcW w:w="7364" w:type="dxa"/>
          </w:tcPr>
          <w:p w14:paraId="05F71E7C" w14:textId="77777777" w:rsidR="00D3474F" w:rsidRPr="00F01B50" w:rsidRDefault="00D3474F" w:rsidP="00D3474F">
            <w:pPr>
              <w:rPr>
                <w:rFonts w:cs="Arial"/>
                <w:bCs/>
              </w:rPr>
            </w:pPr>
            <w:r w:rsidRPr="00F01B50">
              <w:rPr>
                <w:rFonts w:eastAsia="MS Mincho" w:cs="Arial"/>
                <w:kern w:val="0"/>
                <w14:ligatures w14:val="none"/>
              </w:rPr>
              <w:t>20 July 2026</w:t>
            </w:r>
          </w:p>
        </w:tc>
      </w:tr>
      <w:tr w:rsidR="00D3474F" w14:paraId="58665BBC" w14:textId="77777777" w:rsidTr="003E4005">
        <w:tc>
          <w:tcPr>
            <w:tcW w:w="2830" w:type="dxa"/>
          </w:tcPr>
          <w:p w14:paraId="1A1E9617" w14:textId="77777777" w:rsidR="00D3474F" w:rsidRDefault="00D3474F" w:rsidP="00D3474F">
            <w:pPr>
              <w:pStyle w:val="Heading2"/>
            </w:pPr>
            <w:r>
              <w:t>Applicant name:</w:t>
            </w:r>
          </w:p>
        </w:tc>
        <w:tc>
          <w:tcPr>
            <w:tcW w:w="7364" w:type="dxa"/>
          </w:tcPr>
          <w:p w14:paraId="2270B1EB" w14:textId="77777777" w:rsidR="00D3474F" w:rsidRDefault="00D3474F" w:rsidP="00D3474F">
            <w:r w:rsidRPr="00F01B50">
              <w:rPr>
                <w:rFonts w:cs="Arial"/>
              </w:rPr>
              <w:t>Mr Philip Heneghan</w:t>
            </w:r>
          </w:p>
        </w:tc>
      </w:tr>
      <w:tr w:rsidR="00D3474F" w14:paraId="4B72EBF7" w14:textId="77777777" w:rsidTr="003E4005">
        <w:tc>
          <w:tcPr>
            <w:tcW w:w="2830" w:type="dxa"/>
          </w:tcPr>
          <w:p w14:paraId="69DA338E" w14:textId="77777777" w:rsidR="00D3474F" w:rsidRDefault="00D3474F" w:rsidP="00D3474F">
            <w:pPr>
              <w:pStyle w:val="Heading2"/>
            </w:pPr>
            <w:r>
              <w:t>Agent (if any):</w:t>
            </w:r>
          </w:p>
        </w:tc>
        <w:tc>
          <w:tcPr>
            <w:tcW w:w="7364" w:type="dxa"/>
          </w:tcPr>
          <w:p w14:paraId="72F8BCE1" w14:textId="77777777" w:rsidR="00D3474F" w:rsidRDefault="00D3474F" w:rsidP="00D3474F">
            <w:r>
              <w:t>Mr  Patrick Heneghan</w:t>
            </w:r>
          </w:p>
        </w:tc>
      </w:tr>
      <w:tr w:rsidR="00D3474F" w14:paraId="0505C051" w14:textId="77777777" w:rsidTr="003E4005">
        <w:tc>
          <w:tcPr>
            <w:tcW w:w="2830" w:type="dxa"/>
          </w:tcPr>
          <w:p w14:paraId="12D32FAF" w14:textId="77777777" w:rsidR="00D3474F" w:rsidRDefault="00D3474F" w:rsidP="00D3474F">
            <w:pPr>
              <w:pStyle w:val="Heading2"/>
            </w:pPr>
            <w:r>
              <w:t>Case officer:</w:t>
            </w:r>
          </w:p>
        </w:tc>
        <w:tc>
          <w:tcPr>
            <w:tcW w:w="7364" w:type="dxa"/>
          </w:tcPr>
          <w:p w14:paraId="4AD914F4" w14:textId="77777777" w:rsidR="00D3474F" w:rsidRDefault="00D3474F" w:rsidP="00D3474F">
            <w:r>
              <w:t>Robert Tyrer</w:t>
            </w:r>
          </w:p>
        </w:tc>
      </w:tr>
      <w:tr w:rsidR="00D3474F" w14:paraId="03ED4C44" w14:textId="77777777" w:rsidTr="003E4005">
        <w:tc>
          <w:tcPr>
            <w:tcW w:w="2830" w:type="dxa"/>
          </w:tcPr>
          <w:p w14:paraId="48AF9793" w14:textId="77777777" w:rsidR="00D3474F" w:rsidRDefault="00D3474F" w:rsidP="00D3474F">
            <w:pPr>
              <w:pStyle w:val="Heading2"/>
            </w:pPr>
            <w:r>
              <w:t>Recommendation:</w:t>
            </w:r>
          </w:p>
        </w:tc>
        <w:tc>
          <w:tcPr>
            <w:tcW w:w="7364" w:type="dxa"/>
          </w:tcPr>
          <w:p w14:paraId="1356CC6E" w14:textId="66654745" w:rsidR="00D3474F" w:rsidRDefault="00F66D27" w:rsidP="00D3474F">
            <w:r>
              <w:t>Refuse</w:t>
            </w:r>
          </w:p>
        </w:tc>
      </w:tr>
      <w:tr w:rsidR="00D3474F" w14:paraId="5E56A704" w14:textId="77777777" w:rsidTr="003E4005">
        <w:tc>
          <w:tcPr>
            <w:tcW w:w="2830" w:type="dxa"/>
          </w:tcPr>
          <w:p w14:paraId="419377F0" w14:textId="77777777" w:rsidR="00D3474F" w:rsidRDefault="00D3474F" w:rsidP="00D3474F">
            <w:pPr>
              <w:pStyle w:val="Heading2"/>
            </w:pPr>
            <w:r>
              <w:t>Date of recommendation:</w:t>
            </w:r>
          </w:p>
        </w:tc>
        <w:tc>
          <w:tcPr>
            <w:tcW w:w="7364" w:type="dxa"/>
          </w:tcPr>
          <w:p w14:paraId="516D049C" w14:textId="77777777" w:rsidR="00D3474F" w:rsidRDefault="00F96A58" w:rsidP="00D3474F">
            <w:r w:rsidRPr="00F96A58">
              <w:t>14 September 2026</w:t>
            </w:r>
          </w:p>
        </w:tc>
      </w:tr>
    </w:tbl>
    <w:p w14:paraId="3D523632" w14:textId="77777777" w:rsidR="00D3474F" w:rsidRDefault="00D3474F" w:rsidP="00F66D27">
      <w:pPr>
        <w:jc w:val="both"/>
      </w:pPr>
    </w:p>
    <w:p w14:paraId="15F5EBAA" w14:textId="77777777" w:rsidR="00EF3E10" w:rsidRDefault="00EF3E10" w:rsidP="00F66D27">
      <w:pPr>
        <w:pStyle w:val="Heading1"/>
        <w:jc w:val="both"/>
      </w:pPr>
      <w:r>
        <w:t>Description of site, building and/or area</w:t>
      </w:r>
    </w:p>
    <w:p w14:paraId="0DAAD951" w14:textId="287FD614" w:rsidR="00004D23" w:rsidRPr="00004D23" w:rsidRDefault="00004D23" w:rsidP="00F66D27">
      <w:pPr>
        <w:jc w:val="both"/>
      </w:pPr>
      <w:r w:rsidRPr="00004D23">
        <w:t xml:space="preserve">Application site relates to a </w:t>
      </w:r>
      <w:proofErr w:type="gramStart"/>
      <w:r w:rsidRPr="00004D23">
        <w:t>two storey</w:t>
      </w:r>
      <w:proofErr w:type="gramEnd"/>
      <w:r w:rsidRPr="00004D23">
        <w:t xml:space="preserve"> </w:t>
      </w:r>
      <w:r>
        <w:t>mid</w:t>
      </w:r>
      <w:r w:rsidRPr="00004D23">
        <w:t xml:space="preserve"> terraced dwellinghouse in a predominantly residential area. </w:t>
      </w:r>
    </w:p>
    <w:p w14:paraId="165EA7E3" w14:textId="77777777" w:rsidR="0060008F" w:rsidRDefault="0060008F" w:rsidP="00F66D27">
      <w:pPr>
        <w:jc w:val="both"/>
      </w:pPr>
    </w:p>
    <w:p w14:paraId="485B5BBF" w14:textId="77777777" w:rsidR="00EF3E10" w:rsidRDefault="00EF3E10" w:rsidP="00F66D27">
      <w:pPr>
        <w:pStyle w:val="Heading1"/>
        <w:jc w:val="both"/>
      </w:pPr>
      <w:r>
        <w:t>Description of development</w:t>
      </w:r>
    </w:p>
    <w:p w14:paraId="3E5AA85F" w14:textId="77777777" w:rsidR="00004D23" w:rsidRPr="00004D23" w:rsidRDefault="00004D23" w:rsidP="00F66D27">
      <w:pPr>
        <w:jc w:val="both"/>
      </w:pPr>
      <w:r w:rsidRPr="00004D23">
        <w:t>Certificates of lawfulness for use of the property as a small House in Multiple Occupation (Class C4).</w:t>
      </w:r>
    </w:p>
    <w:p w14:paraId="73DB95A3" w14:textId="77777777" w:rsidR="00EF3E10" w:rsidRDefault="00EF3E10" w:rsidP="00F66D27">
      <w:pPr>
        <w:jc w:val="both"/>
      </w:pPr>
    </w:p>
    <w:p w14:paraId="4A087398" w14:textId="77777777" w:rsidR="00EF3E10" w:rsidRDefault="00EF3E10" w:rsidP="00F66D27">
      <w:pPr>
        <w:pStyle w:val="Heading1"/>
        <w:jc w:val="both"/>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5586C4E" w14:textId="77777777" w:rsidTr="00B75EB9">
        <w:tc>
          <w:tcPr>
            <w:tcW w:w="10336" w:type="dxa"/>
          </w:tcPr>
          <w:p w14:paraId="6F37A8ED" w14:textId="7E1B85EC" w:rsidR="00D66B55" w:rsidRDefault="009052C0" w:rsidP="00F66D27">
            <w:pPr>
              <w:jc w:val="both"/>
            </w:pPr>
            <w:r>
              <w:t xml:space="preserve">No previous planning applications at this address. </w:t>
            </w:r>
          </w:p>
        </w:tc>
      </w:tr>
    </w:tbl>
    <w:p w14:paraId="6C3FCEDD" w14:textId="77777777" w:rsidR="00EF3E10" w:rsidRDefault="00C62A32" w:rsidP="00F66D27">
      <w:pPr>
        <w:pStyle w:val="Heading1"/>
        <w:jc w:val="both"/>
      </w:pPr>
      <w:r>
        <w:t>Consultation, notification and publicity responses</w:t>
      </w:r>
    </w:p>
    <w:p w14:paraId="37F059BE" w14:textId="77777777" w:rsidR="00EF3E10" w:rsidRDefault="00C62A32" w:rsidP="00F66D27">
      <w:pPr>
        <w:pStyle w:val="Heading2"/>
        <w:jc w:val="both"/>
      </w:pPr>
      <w:r>
        <w:t>Notifications and publicity</w:t>
      </w:r>
    </w:p>
    <w:p w14:paraId="1B387B87" w14:textId="77777777" w:rsidR="00004D23" w:rsidRPr="00004D23" w:rsidRDefault="00004D23" w:rsidP="00F66D27">
      <w:pPr>
        <w:jc w:val="both"/>
      </w:pPr>
    </w:p>
    <w:p w14:paraId="0C0F617F" w14:textId="77777777" w:rsidR="00004D23" w:rsidRPr="00004D23" w:rsidRDefault="00004D23" w:rsidP="00F66D27">
      <w:pPr>
        <w:jc w:val="both"/>
      </w:pPr>
      <w:r w:rsidRPr="00004D23">
        <w:rPr>
          <w:b/>
          <w:bCs/>
        </w:rPr>
        <w:t>Publicity</w:t>
      </w:r>
      <w:r w:rsidRPr="00004D23">
        <w:t xml:space="preserve"> – Notification letters were sent to nearby residential </w:t>
      </w:r>
      <w:proofErr w:type="gramStart"/>
      <w:r w:rsidRPr="00004D23">
        <w:t>properties .</w:t>
      </w:r>
      <w:proofErr w:type="gramEnd"/>
    </w:p>
    <w:p w14:paraId="451BFB03" w14:textId="77777777" w:rsidR="00004D23" w:rsidRPr="00004D23" w:rsidRDefault="00004D23" w:rsidP="00F66D27">
      <w:pPr>
        <w:jc w:val="both"/>
      </w:pPr>
    </w:p>
    <w:p w14:paraId="5D796C91" w14:textId="77777777" w:rsidR="00004D23" w:rsidRPr="00004D23" w:rsidRDefault="00004D23" w:rsidP="00F66D27">
      <w:pPr>
        <w:jc w:val="both"/>
      </w:pPr>
      <w:proofErr w:type="gramStart"/>
      <w:r w:rsidRPr="00004D23">
        <w:rPr>
          <w:b/>
          <w:bCs/>
        </w:rPr>
        <w:t>Local residents</w:t>
      </w:r>
      <w:proofErr w:type="gramEnd"/>
      <w:r w:rsidRPr="00004D23">
        <w:rPr>
          <w:b/>
          <w:bCs/>
        </w:rPr>
        <w:t xml:space="preserve">/public opinion </w:t>
      </w:r>
      <w:r w:rsidRPr="00004D23">
        <w:t>– No objections, comments or representations in support of the application have been received.</w:t>
      </w:r>
    </w:p>
    <w:p w14:paraId="1AAF9F06" w14:textId="77777777" w:rsidR="00EF3E10" w:rsidRDefault="00EF3E10" w:rsidP="00F66D27">
      <w:pPr>
        <w:jc w:val="both"/>
      </w:pPr>
    </w:p>
    <w:p w14:paraId="5E746A37" w14:textId="6113C12E" w:rsidR="00EF3E10" w:rsidRDefault="00004D23" w:rsidP="00F66D27">
      <w:pPr>
        <w:pStyle w:val="Heading1"/>
        <w:jc w:val="both"/>
      </w:pPr>
      <w:r>
        <w:t>Legislative Issues</w:t>
      </w:r>
    </w:p>
    <w:p w14:paraId="26DD9BAD" w14:textId="77777777" w:rsidR="00004D23" w:rsidRDefault="00004D23" w:rsidP="00F66D27">
      <w:pPr>
        <w:jc w:val="both"/>
      </w:pPr>
      <w:r w:rsidRPr="00004D23">
        <w:t>Sections 191 and 192 of the Town and Country Planning Act 1990 provide for anyone (not just a person with a legal interest in the land) to apply to the local planning authority (LPA) for a lawful development certificate (LDC). A certificate is a statutory document certifying: </w:t>
      </w:r>
    </w:p>
    <w:p w14:paraId="28914E7F" w14:textId="77777777" w:rsidR="00004D23" w:rsidRPr="00004D23" w:rsidRDefault="00004D23" w:rsidP="00F66D27">
      <w:pPr>
        <w:jc w:val="both"/>
      </w:pPr>
    </w:p>
    <w:p w14:paraId="1EAA0129" w14:textId="77777777" w:rsidR="00004D23" w:rsidRPr="00004D23" w:rsidRDefault="00004D23" w:rsidP="00F66D27">
      <w:pPr>
        <w:ind w:left="720"/>
        <w:jc w:val="both"/>
      </w:pPr>
      <w:r w:rsidRPr="00004D23">
        <w:t>1.  in the case of an application under section 191, the lawfulness, for planning purposes, of existing operations on, or use of land, or some activity being carried out in breach of a planning condition; or </w:t>
      </w:r>
    </w:p>
    <w:p w14:paraId="7AFB360B" w14:textId="77777777" w:rsidR="00004D23" w:rsidRDefault="00004D23" w:rsidP="00F66D27">
      <w:pPr>
        <w:ind w:left="720"/>
        <w:jc w:val="both"/>
      </w:pPr>
      <w:r w:rsidRPr="00004D23">
        <w:t>2.  in the case of an application under section 192, the lawfulness of proposed operations on, or use of land. </w:t>
      </w:r>
    </w:p>
    <w:p w14:paraId="013BA52B" w14:textId="77777777" w:rsidR="00004D23" w:rsidRPr="00004D23" w:rsidRDefault="00004D23" w:rsidP="00F66D27">
      <w:pPr>
        <w:ind w:left="720"/>
        <w:jc w:val="both"/>
      </w:pPr>
    </w:p>
    <w:p w14:paraId="12552E06" w14:textId="77777777" w:rsidR="00004D23" w:rsidRDefault="00004D23" w:rsidP="00F66D27">
      <w:pPr>
        <w:jc w:val="both"/>
      </w:pPr>
      <w:r w:rsidRPr="00004D23">
        <w:t xml:space="preserve">The onus of proof </w:t>
      </w:r>
      <w:proofErr w:type="gramStart"/>
      <w:r w:rsidRPr="00004D23">
        <w:t>in regard to</w:t>
      </w:r>
      <w:proofErr w:type="gramEnd"/>
      <w:r w:rsidRPr="00004D23">
        <w:t xml:space="preserve">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 </w:t>
      </w:r>
    </w:p>
    <w:p w14:paraId="632E7A01" w14:textId="77777777" w:rsidR="00004D23" w:rsidRPr="00004D23" w:rsidRDefault="00004D23" w:rsidP="00F66D27">
      <w:pPr>
        <w:jc w:val="both"/>
      </w:pPr>
    </w:p>
    <w:p w14:paraId="68D3508D" w14:textId="77777777" w:rsidR="00004D23" w:rsidRDefault="00004D23" w:rsidP="00F66D27">
      <w:pPr>
        <w:jc w:val="both"/>
      </w:pPr>
      <w:r w:rsidRPr="00004D23">
        <w:t>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 </w:t>
      </w:r>
    </w:p>
    <w:p w14:paraId="1600BCAA" w14:textId="77777777" w:rsidR="00004D23" w:rsidRPr="00004D23" w:rsidRDefault="00004D23" w:rsidP="00F66D27">
      <w:pPr>
        <w:jc w:val="both"/>
      </w:pPr>
    </w:p>
    <w:p w14:paraId="0DC63028" w14:textId="77777777" w:rsidR="00004D23" w:rsidRDefault="00004D23" w:rsidP="00F66D27">
      <w:pPr>
        <w:jc w:val="both"/>
      </w:pPr>
      <w:r w:rsidRPr="00004D23">
        <w:t>In short, the purpose section 192 is to enable any person who wishes to find out whether any proposed use or operations would be lawful to apply to the LPA for that purpose. </w:t>
      </w:r>
    </w:p>
    <w:p w14:paraId="390FF850" w14:textId="77777777" w:rsidR="00004D23" w:rsidRPr="00004D23" w:rsidRDefault="00004D23" w:rsidP="00F66D27">
      <w:pPr>
        <w:jc w:val="both"/>
      </w:pPr>
    </w:p>
    <w:p w14:paraId="07321679" w14:textId="77777777" w:rsidR="00004D23" w:rsidRDefault="00004D23" w:rsidP="00F66D27">
      <w:pPr>
        <w:jc w:val="both"/>
      </w:pPr>
      <w:r w:rsidRPr="00004D23">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 </w:t>
      </w:r>
    </w:p>
    <w:p w14:paraId="41F9ECD5" w14:textId="77777777" w:rsidR="00004D23" w:rsidRPr="00004D23" w:rsidRDefault="00004D23" w:rsidP="00F66D27">
      <w:pPr>
        <w:jc w:val="both"/>
      </w:pPr>
    </w:p>
    <w:p w14:paraId="2794CC51" w14:textId="77777777" w:rsidR="00004D23" w:rsidRPr="00004D23" w:rsidRDefault="00004D23" w:rsidP="00F66D27">
      <w:pPr>
        <w:jc w:val="both"/>
      </w:pPr>
      <w:r w:rsidRPr="00004D23">
        <w:t>In making their decision on an application under section 192, the LPA ask themselves the hypothetical question - "If this proposed change of use had already occurred, or if this proposed operation had commenced, on the application date, would it have been lawful for planning purposes?" In doing so, the LPA will not only consider whether the proposal would involve "development" requiring an application for planning permission, but whether it would involve a 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 </w:t>
      </w:r>
    </w:p>
    <w:p w14:paraId="331BB34C" w14:textId="77777777" w:rsidR="00EF3E10" w:rsidRDefault="00EF3E10" w:rsidP="00F66D27">
      <w:pPr>
        <w:jc w:val="both"/>
      </w:pPr>
    </w:p>
    <w:p w14:paraId="48BA32FD" w14:textId="77777777" w:rsidR="00EF3E10" w:rsidRDefault="00EF3E10" w:rsidP="00F66D27">
      <w:pPr>
        <w:pStyle w:val="Heading1"/>
        <w:jc w:val="both"/>
      </w:pPr>
      <w:r>
        <w:t>Assessment</w:t>
      </w:r>
    </w:p>
    <w:p w14:paraId="147F2BB1" w14:textId="77777777" w:rsidR="009052C0" w:rsidRDefault="009052C0" w:rsidP="00F66D27">
      <w:pPr>
        <w:jc w:val="both"/>
      </w:pPr>
      <w:r w:rsidRPr="009052C0">
        <w:t>This application is pursued under subsection (1) of section 191 which provides for an application to determine whether a specified existing use of buildings or other land(s191(1)(a)), operation (s191(1)(b)), or failure to comply with a planning condition or limitation (s191(1)(c)), which has already been carried out on the land and is lawful for planning purposes.</w:t>
      </w:r>
    </w:p>
    <w:p w14:paraId="56FD2351" w14:textId="77777777" w:rsidR="009052C0" w:rsidRPr="009052C0" w:rsidRDefault="009052C0" w:rsidP="00F66D27">
      <w:pPr>
        <w:jc w:val="both"/>
      </w:pPr>
    </w:p>
    <w:p w14:paraId="6DBBF1E0" w14:textId="77777777" w:rsidR="009052C0" w:rsidRDefault="009052C0" w:rsidP="00F66D27">
      <w:pPr>
        <w:jc w:val="both"/>
      </w:pPr>
      <w:r w:rsidRPr="009052C0">
        <w:t>The application form specifies that that the reason for the application is “an existing use”; which is described as: </w:t>
      </w:r>
    </w:p>
    <w:p w14:paraId="6182D060" w14:textId="77777777" w:rsidR="009052C0" w:rsidRPr="009052C0" w:rsidRDefault="009052C0" w:rsidP="00F66D27">
      <w:pPr>
        <w:jc w:val="both"/>
      </w:pPr>
    </w:p>
    <w:p w14:paraId="5E3B10A4" w14:textId="47CE137F" w:rsidR="009052C0" w:rsidRPr="00A835B2" w:rsidRDefault="009052C0" w:rsidP="00F66D27">
      <w:pPr>
        <w:jc w:val="both"/>
      </w:pPr>
      <w:r w:rsidRPr="009052C0">
        <w:rPr>
          <w:i/>
          <w:iCs/>
        </w:rPr>
        <w:t>“Residential property rented to 4 un-connected young professionals</w:t>
      </w:r>
      <w:r w:rsidR="00A835B2">
        <w:rPr>
          <w:i/>
          <w:iCs/>
        </w:rPr>
        <w:t xml:space="preserve">” </w:t>
      </w:r>
      <w:r w:rsidR="00A835B2" w:rsidRPr="00A835B2">
        <w:t>and selected</w:t>
      </w:r>
      <w:r w:rsidR="00A835B2">
        <w:rPr>
          <w:i/>
          <w:iCs/>
        </w:rPr>
        <w:t xml:space="preserve"> </w:t>
      </w:r>
      <w:r w:rsidR="00A835B2" w:rsidRPr="00A835B2">
        <w:t>C4 – House in multiple occupation as the relevant use class</w:t>
      </w:r>
      <w:r w:rsidR="00A835B2">
        <w:t>.</w:t>
      </w:r>
    </w:p>
    <w:p w14:paraId="77DFC8E3" w14:textId="77777777" w:rsidR="009052C0" w:rsidRDefault="009052C0" w:rsidP="00F66D27">
      <w:pPr>
        <w:jc w:val="both"/>
      </w:pPr>
    </w:p>
    <w:p w14:paraId="1AFA3D92" w14:textId="50D711D6" w:rsidR="009052C0" w:rsidRDefault="009052C0" w:rsidP="00F66D27">
      <w:pPr>
        <w:jc w:val="both"/>
      </w:pPr>
      <w:r w:rsidRPr="009052C0">
        <w:t xml:space="preserve">In response to the question as to why the Lawful Development Certificate should be granted, the applicant has </w:t>
      </w:r>
      <w:r>
        <w:t xml:space="preserve">stated the following: </w:t>
      </w:r>
    </w:p>
    <w:p w14:paraId="00494F3D" w14:textId="77777777" w:rsidR="009052C0" w:rsidRPr="009052C0" w:rsidRDefault="009052C0" w:rsidP="00F66D27">
      <w:pPr>
        <w:jc w:val="both"/>
      </w:pPr>
    </w:p>
    <w:p w14:paraId="0EA136C4" w14:textId="77777777" w:rsidR="009052C0" w:rsidRDefault="009052C0" w:rsidP="00F66D27">
      <w:pPr>
        <w:jc w:val="both"/>
        <w:rPr>
          <w:i/>
          <w:iCs/>
        </w:rPr>
      </w:pPr>
      <w:r w:rsidRPr="009052C0">
        <w:lastRenderedPageBreak/>
        <w:t>“</w:t>
      </w:r>
      <w:r w:rsidRPr="009052C0">
        <w:rPr>
          <w:i/>
          <w:iCs/>
        </w:rPr>
        <w:t xml:space="preserve">The property was purchase in September 2006 by two unconnected owners/friends. Between 2006 to 2013 two of the four bedrooms were rented to two additional unconnected young professionals (a total of 4 unconnected young professionals). In 2013 the two owners moved out of the property and the property has since predominantly been used for accommodation for rent to 4 young unconnected professionals. It has always been let through local estate agents (mainly Lewis Phipps Ltd in Didsbury) with AST contracts and has always complied with the relevant landlord requirements </w:t>
      </w:r>
      <w:proofErr w:type="spellStart"/>
      <w:r w:rsidRPr="009052C0">
        <w:rPr>
          <w:i/>
          <w:iCs/>
        </w:rPr>
        <w:t>eg</w:t>
      </w:r>
      <w:proofErr w:type="spellEnd"/>
      <w:r w:rsidRPr="009052C0">
        <w:rPr>
          <w:i/>
          <w:iCs/>
        </w:rPr>
        <w:t xml:space="preserve"> fire doors with </w:t>
      </w:r>
      <w:proofErr w:type="spellStart"/>
      <w:r w:rsidRPr="009052C0">
        <w:rPr>
          <w:i/>
          <w:iCs/>
        </w:rPr>
        <w:t>self closers</w:t>
      </w:r>
      <w:proofErr w:type="spellEnd"/>
      <w:r w:rsidRPr="009052C0">
        <w:rPr>
          <w:i/>
          <w:iCs/>
        </w:rPr>
        <w:t xml:space="preserve">, fire blankets, fire extinguishers, wired in smoke detectors to all floors, CO2 alarms, fire compliant furniture, </w:t>
      </w:r>
      <w:proofErr w:type="gramStart"/>
      <w:r w:rsidRPr="009052C0">
        <w:rPr>
          <w:i/>
          <w:iCs/>
        </w:rPr>
        <w:t>land lords</w:t>
      </w:r>
      <w:proofErr w:type="gramEnd"/>
      <w:r w:rsidRPr="009052C0">
        <w:rPr>
          <w:i/>
          <w:iCs/>
        </w:rPr>
        <w:t xml:space="preserve"> gas safety certificates, </w:t>
      </w:r>
      <w:proofErr w:type="gramStart"/>
      <w:r w:rsidRPr="009052C0">
        <w:rPr>
          <w:i/>
          <w:iCs/>
        </w:rPr>
        <w:t>5 year</w:t>
      </w:r>
      <w:proofErr w:type="gramEnd"/>
      <w:r w:rsidRPr="009052C0">
        <w:rPr>
          <w:i/>
          <w:iCs/>
        </w:rPr>
        <w:t xml:space="preserve"> electrical safety certificates, landlords insurance, protected deposits, etc </w:t>
      </w:r>
    </w:p>
    <w:p w14:paraId="024523A1" w14:textId="77777777" w:rsidR="009052C0" w:rsidRDefault="009052C0" w:rsidP="00F66D27">
      <w:pPr>
        <w:jc w:val="both"/>
        <w:rPr>
          <w:i/>
          <w:iCs/>
        </w:rPr>
      </w:pPr>
    </w:p>
    <w:p w14:paraId="4BA38AB2" w14:textId="77777777" w:rsidR="009052C0" w:rsidRDefault="009052C0" w:rsidP="00F66D27">
      <w:pPr>
        <w:jc w:val="both"/>
        <w:rPr>
          <w:i/>
          <w:iCs/>
        </w:rPr>
      </w:pPr>
      <w:r w:rsidRPr="009052C0">
        <w:rPr>
          <w:i/>
          <w:iCs/>
        </w:rPr>
        <w:t xml:space="preserve">According to data provided by "HMO checker" within that immediate area: </w:t>
      </w:r>
    </w:p>
    <w:p w14:paraId="6BDD17B7" w14:textId="77777777" w:rsidR="009052C0" w:rsidRDefault="009052C0" w:rsidP="00F66D27">
      <w:pPr>
        <w:jc w:val="both"/>
        <w:rPr>
          <w:i/>
          <w:iCs/>
        </w:rPr>
      </w:pPr>
    </w:p>
    <w:p w14:paraId="0A3A0FE0" w14:textId="77777777" w:rsidR="009052C0" w:rsidRDefault="009052C0" w:rsidP="00F66D27">
      <w:pPr>
        <w:jc w:val="both"/>
        <w:rPr>
          <w:i/>
          <w:iCs/>
        </w:rPr>
      </w:pPr>
      <w:r w:rsidRPr="009052C0">
        <w:rPr>
          <w:i/>
          <w:iCs/>
        </w:rPr>
        <w:t xml:space="preserve">1) There is currently one licenced HMO within the area of 31 residential properties. That equates to 3% of the residential Housing stock. This HMO is 42 Cavendish Road, West Didsbury, M20 1QE. </w:t>
      </w:r>
      <w:proofErr w:type="gramStart"/>
      <w:r w:rsidRPr="009052C0">
        <w:rPr>
          <w:i/>
          <w:iCs/>
        </w:rPr>
        <w:t>However</w:t>
      </w:r>
      <w:proofErr w:type="gramEnd"/>
      <w:r w:rsidRPr="009052C0">
        <w:rPr>
          <w:i/>
          <w:iCs/>
        </w:rPr>
        <w:t xml:space="preserve"> this property has just been sold to an owner occupier which therefore takes the number of HMO properties within the area to zero equating to 0% HMO's within the immediate area. When speaking with the seller/landlord of the property the reason for the sale is recent increases in taxation and the recent Renters Rights Act that came into force on 1st May 2026. This therefore means there is a loss of 4 beds for young professionals. </w:t>
      </w:r>
    </w:p>
    <w:p w14:paraId="71B0F5DA" w14:textId="77777777" w:rsidR="009052C0" w:rsidRDefault="009052C0" w:rsidP="00F66D27">
      <w:pPr>
        <w:jc w:val="both"/>
        <w:rPr>
          <w:i/>
          <w:iCs/>
        </w:rPr>
      </w:pPr>
    </w:p>
    <w:p w14:paraId="74656821" w14:textId="77777777" w:rsidR="009052C0" w:rsidRDefault="009052C0" w:rsidP="00F66D27">
      <w:pPr>
        <w:jc w:val="both"/>
        <w:rPr>
          <w:i/>
          <w:iCs/>
        </w:rPr>
      </w:pPr>
      <w:r w:rsidRPr="009052C0">
        <w:rPr>
          <w:i/>
          <w:iCs/>
        </w:rPr>
        <w:t xml:space="preserve">2) Other </w:t>
      </w:r>
      <w:proofErr w:type="spellStart"/>
      <w:r w:rsidRPr="009052C0">
        <w:rPr>
          <w:i/>
          <w:iCs/>
        </w:rPr>
        <w:t>then</w:t>
      </w:r>
      <w:proofErr w:type="spellEnd"/>
      <w:r w:rsidRPr="009052C0">
        <w:rPr>
          <w:i/>
          <w:iCs/>
        </w:rPr>
        <w:t xml:space="preserve"> this application there are no current HMO applications within this area with 50m of this property. </w:t>
      </w:r>
    </w:p>
    <w:p w14:paraId="716AB84F" w14:textId="77777777" w:rsidR="009052C0" w:rsidRDefault="009052C0" w:rsidP="00F66D27">
      <w:pPr>
        <w:jc w:val="both"/>
        <w:rPr>
          <w:i/>
          <w:iCs/>
        </w:rPr>
      </w:pPr>
    </w:p>
    <w:p w14:paraId="605CE7E2" w14:textId="7158A97B" w:rsidR="009052C0" w:rsidRDefault="009052C0" w:rsidP="00F66D27">
      <w:pPr>
        <w:jc w:val="both"/>
        <w:rPr>
          <w:i/>
          <w:iCs/>
        </w:rPr>
      </w:pPr>
      <w:r w:rsidRPr="009052C0">
        <w:rPr>
          <w:i/>
          <w:iCs/>
        </w:rPr>
        <w:t xml:space="preserve">3) There are currently 842 people looking for 63 rooms within the West Didsbury/Didsbury area. This indicates that there </w:t>
      </w:r>
      <w:proofErr w:type="gramStart"/>
      <w:r w:rsidRPr="009052C0">
        <w:rPr>
          <w:i/>
          <w:iCs/>
        </w:rPr>
        <w:t>is</w:t>
      </w:r>
      <w:proofErr w:type="gramEnd"/>
      <w:r w:rsidRPr="009052C0">
        <w:rPr>
          <w:i/>
          <w:iCs/>
        </w:rPr>
        <w:t xml:space="preserve"> an extremely low supply and a high demand for affordable and flexible shared accommodation for young professionals within the area. </w:t>
      </w:r>
    </w:p>
    <w:p w14:paraId="06D1FB0F" w14:textId="77777777" w:rsidR="009052C0" w:rsidRDefault="009052C0" w:rsidP="00F66D27">
      <w:pPr>
        <w:jc w:val="both"/>
        <w:rPr>
          <w:i/>
          <w:iCs/>
        </w:rPr>
      </w:pPr>
    </w:p>
    <w:p w14:paraId="0D18C34A" w14:textId="6738BDB0" w:rsidR="009052C0" w:rsidRDefault="009052C0" w:rsidP="00F66D27">
      <w:pPr>
        <w:jc w:val="both"/>
      </w:pPr>
      <w:r w:rsidRPr="009052C0">
        <w:rPr>
          <w:i/>
          <w:iCs/>
        </w:rPr>
        <w:t xml:space="preserve">Please see attached to this application tenancy contracts starting in 2013 going through to the current periodic one starting in 2025. The contracts have predominantly rolled on during this time or there have been voids due to vacancy, marketing, refurbishment, etc. We have access to emails from Lewis Phipps to provide further evidence but unfortunately Lewis Phipps Ltd </w:t>
      </w:r>
      <w:proofErr w:type="gramStart"/>
      <w:r w:rsidRPr="009052C0">
        <w:rPr>
          <w:i/>
          <w:iCs/>
        </w:rPr>
        <w:t>closed down</w:t>
      </w:r>
      <w:proofErr w:type="gramEnd"/>
      <w:r w:rsidRPr="009052C0">
        <w:rPr>
          <w:i/>
          <w:iCs/>
        </w:rPr>
        <w:t xml:space="preserve"> approximately 4 years ago and access to their tenancy portal closed with it. Since 2025 the property was let by Jordan Fishwick.</w:t>
      </w:r>
      <w:r w:rsidRPr="009052C0">
        <w:t>"</w:t>
      </w:r>
    </w:p>
    <w:p w14:paraId="7936C884" w14:textId="77777777" w:rsidR="009052C0" w:rsidRPr="009052C0" w:rsidRDefault="009052C0" w:rsidP="00F66D27">
      <w:pPr>
        <w:jc w:val="both"/>
      </w:pPr>
    </w:p>
    <w:p w14:paraId="0A0898AC" w14:textId="05C19028" w:rsidR="009052C0" w:rsidRDefault="009052C0" w:rsidP="00F66D27">
      <w:pPr>
        <w:jc w:val="both"/>
      </w:pPr>
      <w:r w:rsidRPr="009052C0">
        <w:t xml:space="preserve">In a case of this type, the onus is on the applicant to substantiate his or her case, on the balance of probability. The applicant needs to demonstrate that the use of property as a small House in Multiple Occupation (Use Class C4) commenced more than ten years prior to the date of the application (i.e. by </w:t>
      </w:r>
      <w:r>
        <w:t>20 July</w:t>
      </w:r>
      <w:r w:rsidRPr="009052C0">
        <w:t xml:space="preserve"> 2016) and continued without a significant break for ten years. </w:t>
      </w:r>
    </w:p>
    <w:p w14:paraId="279DFC1E" w14:textId="77777777" w:rsidR="009052C0" w:rsidRPr="009052C0" w:rsidRDefault="009052C0" w:rsidP="00F66D27">
      <w:pPr>
        <w:jc w:val="both"/>
      </w:pPr>
    </w:p>
    <w:p w14:paraId="06D5A719" w14:textId="77777777" w:rsidR="009052C0" w:rsidRDefault="009052C0" w:rsidP="00F66D27">
      <w:pPr>
        <w:jc w:val="both"/>
      </w:pPr>
      <w:r w:rsidRPr="009052C0">
        <w:t>Class C4 is defined in the Town and Country Planning (Use Classes) Order 1987, as amended, as “Use of a dwellinghouse by not more than six residents as a “house in multiple occupation”.” This latter term is as defined in S.254 of the Housing Act 2004. </w:t>
      </w:r>
    </w:p>
    <w:p w14:paraId="43C2ADAC" w14:textId="77777777" w:rsidR="009052C0" w:rsidRPr="009052C0" w:rsidRDefault="009052C0" w:rsidP="00F66D27">
      <w:pPr>
        <w:jc w:val="both"/>
      </w:pPr>
    </w:p>
    <w:p w14:paraId="4D782ECA" w14:textId="77777777" w:rsidR="009052C0" w:rsidRDefault="009052C0" w:rsidP="00F66D27">
      <w:pPr>
        <w:jc w:val="both"/>
      </w:pPr>
      <w:r w:rsidRPr="009052C0">
        <w:t>The Planning Practice Guidance points to the need for evidence to be sufficiently precise and unambiguous to justify the grant of a certificate on the balance of probability. </w:t>
      </w:r>
    </w:p>
    <w:p w14:paraId="32D089B5" w14:textId="77777777" w:rsidR="009052C0" w:rsidRPr="009052C0" w:rsidRDefault="009052C0" w:rsidP="00F66D27">
      <w:pPr>
        <w:jc w:val="both"/>
      </w:pPr>
    </w:p>
    <w:p w14:paraId="16A7EAE1" w14:textId="77777777" w:rsidR="009052C0" w:rsidRPr="009052C0" w:rsidRDefault="009052C0" w:rsidP="00F66D27">
      <w:pPr>
        <w:jc w:val="both"/>
      </w:pPr>
      <w:r w:rsidRPr="009052C0">
        <w:t xml:space="preserve">The relevant test, established by the court in </w:t>
      </w:r>
      <w:proofErr w:type="spellStart"/>
      <w:r w:rsidRPr="009052C0">
        <w:t>Thrasyvoulou</w:t>
      </w:r>
      <w:proofErr w:type="spellEnd"/>
      <w:r w:rsidRPr="009052C0">
        <w:t xml:space="preserve"> v SSE [1984], is the balance of probabilities – whether something is more likely than not. </w:t>
      </w:r>
    </w:p>
    <w:p w14:paraId="2A42FF95" w14:textId="77777777" w:rsidR="00EF3E10" w:rsidRDefault="00EF3E10" w:rsidP="00F66D27">
      <w:pPr>
        <w:jc w:val="both"/>
      </w:pPr>
    </w:p>
    <w:p w14:paraId="3915223E" w14:textId="18BE1A00" w:rsidR="009052C0" w:rsidRDefault="00A835B2" w:rsidP="00F66D27">
      <w:pPr>
        <w:jc w:val="both"/>
      </w:pPr>
      <w:r>
        <w:t xml:space="preserve">The applicant confirms that the use began on the 19 June 2013 and as explained within the application form, appears to be when the property was vacated by the owners and used as rented accommodation for four young professionals. </w:t>
      </w:r>
    </w:p>
    <w:p w14:paraId="7D890D93" w14:textId="77777777" w:rsidR="00A835B2" w:rsidRDefault="00A835B2" w:rsidP="00D3474F"/>
    <w:p w14:paraId="227CF57E" w14:textId="342D30BA" w:rsidR="00D72487" w:rsidRDefault="00D72487" w:rsidP="00F66D27">
      <w:pPr>
        <w:jc w:val="both"/>
      </w:pPr>
      <w:r>
        <w:lastRenderedPageBreak/>
        <w:t xml:space="preserve">The applicant has provided </w:t>
      </w:r>
      <w:r w:rsidR="00F66D27">
        <w:t>several</w:t>
      </w:r>
      <w:r>
        <w:t xml:space="preserve"> documents, in addition to the application form, to evidence the use of the property as a house in multiple occupation. Taken in chronological order, they are as follows:</w:t>
      </w:r>
    </w:p>
    <w:p w14:paraId="2EE2AF80" w14:textId="77777777" w:rsidR="00D72487" w:rsidRDefault="00D72487" w:rsidP="00F66D27">
      <w:pPr>
        <w:jc w:val="both"/>
      </w:pPr>
    </w:p>
    <w:p w14:paraId="49739B57" w14:textId="77777777" w:rsidR="00D72487" w:rsidRDefault="00D72487" w:rsidP="00F66D27">
      <w:pPr>
        <w:pStyle w:val="ListParagraph"/>
        <w:numPr>
          <w:ilvl w:val="0"/>
          <w:numId w:val="7"/>
        </w:numPr>
        <w:jc w:val="both"/>
      </w:pPr>
      <w:r>
        <w:t>A tenancy agreement dated 19 June 2013 for four tenants, with a tenancy term ending on 19 June 2014.</w:t>
      </w:r>
    </w:p>
    <w:p w14:paraId="731B2A46" w14:textId="77777777" w:rsidR="00D72487" w:rsidRDefault="00D72487" w:rsidP="00F66D27">
      <w:pPr>
        <w:pStyle w:val="ListParagraph"/>
        <w:numPr>
          <w:ilvl w:val="0"/>
          <w:numId w:val="7"/>
        </w:numPr>
        <w:jc w:val="both"/>
      </w:pPr>
      <w:r>
        <w:t>A second tenancy agreement dated 6 July 2016 for four tenants, with a tenancy term ending on 6 January 2017.</w:t>
      </w:r>
    </w:p>
    <w:p w14:paraId="7431BF2E" w14:textId="77777777" w:rsidR="00D72487" w:rsidRDefault="00D72487" w:rsidP="00F66D27">
      <w:pPr>
        <w:pStyle w:val="ListParagraph"/>
        <w:numPr>
          <w:ilvl w:val="0"/>
          <w:numId w:val="7"/>
        </w:numPr>
        <w:jc w:val="both"/>
      </w:pPr>
      <w:r>
        <w:t>A statement of accounts and payment advice dated 11 May 2017, provided to the landlord by Lewis Phipps Property Management, showing income under the heading "Monies in from Landlord", including a deposit and first month's rent, together with a total income figure. The statement also shows expenditure through fourteen transactions dated between 18 May 2015 and 10 May 2017, including references to smoke alarms, gas certificates, carpet cleaning, a fire door, and key cutting, among other items.</w:t>
      </w:r>
    </w:p>
    <w:p w14:paraId="33803C60" w14:textId="77777777" w:rsidR="00D72487" w:rsidRDefault="00D72487" w:rsidP="00F66D27">
      <w:pPr>
        <w:pStyle w:val="ListParagraph"/>
        <w:numPr>
          <w:ilvl w:val="0"/>
          <w:numId w:val="7"/>
        </w:numPr>
        <w:jc w:val="both"/>
      </w:pPr>
      <w:r>
        <w:t>Correspondence in the form of an email dated 6 July 2020, with the property address in the subject heading, which appears to refer to a conversation regarding the return of a deposit. Reference is also made to four tenants.</w:t>
      </w:r>
    </w:p>
    <w:p w14:paraId="05663078" w14:textId="599901AB" w:rsidR="009052C0" w:rsidRDefault="00D72487" w:rsidP="00F66D27">
      <w:pPr>
        <w:pStyle w:val="ListParagraph"/>
        <w:numPr>
          <w:ilvl w:val="0"/>
          <w:numId w:val="7"/>
        </w:numPr>
        <w:jc w:val="both"/>
      </w:pPr>
      <w:r>
        <w:t>The final piece of evidence is a tenancy agreement dated 17 May 2025 for a 12-month period for four tenants.</w:t>
      </w:r>
    </w:p>
    <w:p w14:paraId="005F5849" w14:textId="77777777" w:rsidR="009052C0" w:rsidRDefault="009052C0" w:rsidP="00F66D27">
      <w:pPr>
        <w:jc w:val="both"/>
      </w:pPr>
    </w:p>
    <w:p w14:paraId="2EF9941A" w14:textId="5CF9F0A8" w:rsidR="00D72487" w:rsidRDefault="00AF3AA1" w:rsidP="00F66D27">
      <w:pPr>
        <w:jc w:val="both"/>
      </w:pPr>
      <w:r>
        <w:t>The Planning Practice Guidance points to the need for evidence to be</w:t>
      </w:r>
      <w:r>
        <w:t xml:space="preserve"> </w:t>
      </w:r>
      <w:r>
        <w:t>sufficiently precise and unambiguous to justify the grant of a certificate on the</w:t>
      </w:r>
      <w:r>
        <w:t xml:space="preserve"> </w:t>
      </w:r>
      <w:r>
        <w:t>balance of probability.</w:t>
      </w:r>
      <w:r>
        <w:t xml:space="preserve"> Whilst the evidence provided does show some occupation of the property as a HMO, there are gaps </w:t>
      </w:r>
      <w:r w:rsidR="00F66D27">
        <w:t>within</w:t>
      </w:r>
      <w:r>
        <w:t xml:space="preserve"> the relevant </w:t>
      </w:r>
      <w:r w:rsidR="00F66D27">
        <w:t>ten-year</w:t>
      </w:r>
      <w:r>
        <w:t xml:space="preserve"> period. The application form provides some explanation</w:t>
      </w:r>
      <w:r w:rsidR="00F66D27">
        <w:t>,</w:t>
      </w:r>
      <w:r>
        <w:t xml:space="preserve"> “</w:t>
      </w:r>
      <w:r w:rsidRPr="009052C0">
        <w:rPr>
          <w:i/>
          <w:iCs/>
        </w:rPr>
        <w:t>The contracts have predominantly rolled on during this time or there have been voids due to vacancy, marketing, refurbishment, etc.</w:t>
      </w:r>
      <w:r>
        <w:rPr>
          <w:i/>
          <w:iCs/>
        </w:rPr>
        <w:t xml:space="preserve">”, </w:t>
      </w:r>
      <w:r w:rsidRPr="00AF3AA1">
        <w:t xml:space="preserve">it is rather imprecise. </w:t>
      </w:r>
      <w:r w:rsidR="00F66D27" w:rsidRPr="00F66D27">
        <w:t>Reference is made to the existence of other evidence</w:t>
      </w:r>
      <w:r w:rsidRPr="00AF3AA1">
        <w:t xml:space="preserve">, but this has not been provided </w:t>
      </w:r>
      <w:r w:rsidR="00F66D27">
        <w:t>in support of this</w:t>
      </w:r>
      <w:r w:rsidRPr="00AF3AA1">
        <w:t xml:space="preserve"> </w:t>
      </w:r>
      <w:r w:rsidR="00F66D27" w:rsidRPr="00AF3AA1">
        <w:t>application</w:t>
      </w:r>
      <w:r w:rsidR="00F66D27">
        <w:t xml:space="preserve">. Furthermore, </w:t>
      </w:r>
      <w:r>
        <w:t xml:space="preserve">it is unclear </w:t>
      </w:r>
      <w:r w:rsidR="00F66D27">
        <w:t>whether such evidence remains available, as the applicant explains that</w:t>
      </w:r>
      <w:r>
        <w:t xml:space="preserve"> </w:t>
      </w:r>
      <w:r w:rsidRPr="00AF3AA1">
        <w:t>Lewis Phipps Lt</w:t>
      </w:r>
      <w:r>
        <w:t xml:space="preserve">d is no longer trading and that access to </w:t>
      </w:r>
      <w:r w:rsidR="00F66D27">
        <w:t>its</w:t>
      </w:r>
      <w:r>
        <w:t xml:space="preserve"> tenancy portal </w:t>
      </w:r>
      <w:r w:rsidR="00F66D27">
        <w:t xml:space="preserve">ceased upon the company’s closure. </w:t>
      </w:r>
      <w:r>
        <w:t xml:space="preserve"> </w:t>
      </w:r>
    </w:p>
    <w:p w14:paraId="01523F34" w14:textId="77777777" w:rsidR="00AF3AA1" w:rsidRDefault="00AF3AA1" w:rsidP="00F66D27">
      <w:pPr>
        <w:jc w:val="both"/>
      </w:pPr>
    </w:p>
    <w:p w14:paraId="3DECF51E" w14:textId="2D362CE4" w:rsidR="00AF3AA1" w:rsidRDefault="00AF3AA1" w:rsidP="00F66D27">
      <w:pPr>
        <w:jc w:val="both"/>
      </w:pPr>
      <w:r>
        <w:t>As such, it does not provide a basis to conclude</w:t>
      </w:r>
      <w:r>
        <w:t xml:space="preserve"> </w:t>
      </w:r>
      <w:r>
        <w:t>with sufficient confidence that the property has been in continuous use as a</w:t>
      </w:r>
      <w:r>
        <w:t xml:space="preserve"> </w:t>
      </w:r>
      <w:r>
        <w:t>house in multiple occupation over the 10 years from 20 July</w:t>
      </w:r>
      <w:r w:rsidRPr="009052C0">
        <w:t xml:space="preserve"> 2016</w:t>
      </w:r>
      <w:r>
        <w:t>.</w:t>
      </w:r>
    </w:p>
    <w:p w14:paraId="7B282B8D" w14:textId="77777777" w:rsidR="00D72487" w:rsidRDefault="00D72487" w:rsidP="00D3474F"/>
    <w:p w14:paraId="6753D1A4" w14:textId="77777777" w:rsidR="006F7F26" w:rsidRPr="006F7F26" w:rsidRDefault="006F7F26" w:rsidP="00F66D27">
      <w:pPr>
        <w:pStyle w:val="Heading1"/>
        <w:jc w:val="both"/>
        <w:rPr>
          <w:rFonts w:eastAsia="Times New Roman"/>
        </w:rPr>
      </w:pPr>
      <w:r w:rsidRPr="006F7F26">
        <w:rPr>
          <w:rFonts w:eastAsia="Times New Roman"/>
        </w:rPr>
        <w:t>Other Legislative Requirements</w:t>
      </w:r>
    </w:p>
    <w:p w14:paraId="159E6A9B" w14:textId="77777777" w:rsidR="006F7F26" w:rsidRPr="006F7F26" w:rsidRDefault="006F7F26" w:rsidP="00F66D27">
      <w:pPr>
        <w:pStyle w:val="Heading2"/>
        <w:jc w:val="both"/>
        <w:rPr>
          <w:rFonts w:eastAsia="Times New Roman"/>
        </w:rPr>
      </w:pPr>
      <w:r w:rsidRPr="006F7F26">
        <w:rPr>
          <w:rFonts w:eastAsia="Times New Roman"/>
        </w:rPr>
        <w:t>Equality Act 2010</w:t>
      </w:r>
    </w:p>
    <w:p w14:paraId="796C709B" w14:textId="77777777" w:rsidR="006F7F26" w:rsidRPr="006F7F26" w:rsidRDefault="006F7F26" w:rsidP="00F66D27">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028E245" w14:textId="77777777" w:rsidR="006F7F26" w:rsidRPr="006F7F26" w:rsidRDefault="006F7F26" w:rsidP="00F66D27">
      <w:pPr>
        <w:jc w:val="both"/>
        <w:rPr>
          <w:rFonts w:eastAsia="Times New Roman" w:cs="Times New Roman"/>
          <w:kern w:val="0"/>
          <w:szCs w:val="22"/>
          <w14:ligatures w14:val="none"/>
        </w:rPr>
      </w:pPr>
    </w:p>
    <w:p w14:paraId="4B7D4390" w14:textId="77777777" w:rsidR="006F7F26" w:rsidRPr="006F7F26" w:rsidRDefault="006F7F26" w:rsidP="00F66D27">
      <w:pPr>
        <w:pStyle w:val="Heading2"/>
        <w:jc w:val="both"/>
        <w:rPr>
          <w:rFonts w:eastAsia="Times New Roman"/>
        </w:rPr>
      </w:pPr>
      <w:r w:rsidRPr="006F7F26">
        <w:rPr>
          <w:rFonts w:eastAsia="Times New Roman"/>
        </w:rPr>
        <w:t>Human Rights Act 1998 considerations</w:t>
      </w:r>
    </w:p>
    <w:p w14:paraId="1F95C4A1" w14:textId="77777777" w:rsidR="006F7F26" w:rsidRPr="006F7F26" w:rsidRDefault="006F7F26" w:rsidP="00F66D27">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FA51BBF" w14:textId="77777777" w:rsidR="006F7F26" w:rsidRPr="006F7F26" w:rsidRDefault="006F7F26" w:rsidP="00F66D27">
      <w:pPr>
        <w:jc w:val="both"/>
        <w:rPr>
          <w:rFonts w:eastAsia="Times New Roman" w:cs="Arial"/>
          <w:kern w:val="0"/>
          <w14:ligatures w14:val="none"/>
        </w:rPr>
      </w:pPr>
    </w:p>
    <w:p w14:paraId="0C263E44" w14:textId="77777777" w:rsidR="006F7F26" w:rsidRDefault="006F7F26" w:rsidP="00F66D27">
      <w:pPr>
        <w:jc w:val="both"/>
      </w:pPr>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w:t>
      </w:r>
      <w:r w:rsidRPr="006F7F26">
        <w:lastRenderedPageBreak/>
        <w:t>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22F5BF2" w14:textId="77777777" w:rsidR="00D66B55" w:rsidRDefault="00D66B55" w:rsidP="00F66D27">
      <w:pPr>
        <w:pStyle w:val="Heading1"/>
        <w:jc w:val="both"/>
      </w:pPr>
      <w:r>
        <w:t>Conclusion</w:t>
      </w:r>
    </w:p>
    <w:p w14:paraId="5DE710F4" w14:textId="77777777" w:rsidR="00D66B55" w:rsidRDefault="00D66B55" w:rsidP="00D66B55"/>
    <w:p w14:paraId="19E62FDF" w14:textId="6F4E70DA" w:rsidR="00F66D27" w:rsidRPr="00D66B55" w:rsidRDefault="00F66D27" w:rsidP="00D66B55">
      <w:r>
        <w:t xml:space="preserve">Based on the assessment of the evidence provided, the certificate should be refused. </w:t>
      </w:r>
    </w:p>
    <w:p w14:paraId="048249C5" w14:textId="77777777" w:rsidR="00EF3E10" w:rsidRDefault="00EF3E10" w:rsidP="00D3474F"/>
    <w:p w14:paraId="1554B7FA" w14:textId="1E7AC4B0" w:rsidR="00C62A32" w:rsidRDefault="005C02B9" w:rsidP="00B75EB9">
      <w:pPr>
        <w:spacing w:after="120"/>
      </w:pPr>
      <w:r w:rsidRPr="005C02B9">
        <w:rPr>
          <w:rStyle w:val="Heading2Char"/>
        </w:rPr>
        <w:t>Recommendation</w:t>
      </w:r>
      <w:r>
        <w:t xml:space="preserve">: </w:t>
      </w:r>
      <w:r w:rsidR="00F66D27">
        <w:t>Refuse</w:t>
      </w:r>
    </w:p>
    <w:p w14:paraId="6E22A824" w14:textId="77777777" w:rsidR="00BA1D7F" w:rsidRDefault="00BA1D7F" w:rsidP="00A331F9"/>
    <w:p w14:paraId="4299615E" w14:textId="759CA9A3" w:rsidR="006B1081" w:rsidRDefault="00F66D27" w:rsidP="00A331F9">
      <w:r>
        <w:t xml:space="preserve">1) </w:t>
      </w:r>
      <w:r w:rsidRPr="00F66D27">
        <w:t>The applicant has failed to demonstrate that the use of property as a house in multiple occupation (Use Class C4) as defined by the Town and Country Planning (Use Classes) Order 1987 (as amended), has continued for a 10-year period up to the date of the application</w:t>
      </w:r>
      <w:r>
        <w:t>.</w:t>
      </w:r>
    </w:p>
    <w:p w14:paraId="11392965" w14:textId="77777777" w:rsidR="00A331F9" w:rsidRDefault="00A331F9">
      <w:pPr>
        <w:rPr>
          <w:rFonts w:ascii="Times New Roman" w:eastAsia="Times New Roman" w:hAnsi="Times New Roman"/>
        </w:rPr>
      </w:pPr>
    </w:p>
    <w:p w14:paraId="58F5BDCA"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D972E7"/>
    <w:multiLevelType w:val="hybridMultilevel"/>
    <w:tmpl w:val="B7629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501ABE"/>
    <w:multiLevelType w:val="hybridMultilevel"/>
    <w:tmpl w:val="5EE25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5"/>
  </w:num>
  <w:num w:numId="4" w16cid:durableId="479078163">
    <w:abstractNumId w:val="2"/>
  </w:num>
  <w:num w:numId="5" w16cid:durableId="257520763">
    <w:abstractNumId w:val="6"/>
  </w:num>
  <w:num w:numId="6" w16cid:durableId="912131172">
    <w:abstractNumId w:val="1"/>
  </w:num>
  <w:num w:numId="7" w16cid:durableId="1521549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4D23"/>
    <w:rsid w:val="002202D8"/>
    <w:rsid w:val="00264A72"/>
    <w:rsid w:val="00271DE1"/>
    <w:rsid w:val="00274422"/>
    <w:rsid w:val="002A509A"/>
    <w:rsid w:val="0032349F"/>
    <w:rsid w:val="003E4005"/>
    <w:rsid w:val="0043287E"/>
    <w:rsid w:val="00467C0E"/>
    <w:rsid w:val="005C02B9"/>
    <w:rsid w:val="005E7E0E"/>
    <w:rsid w:val="0060008F"/>
    <w:rsid w:val="006175C6"/>
    <w:rsid w:val="00654330"/>
    <w:rsid w:val="006954E2"/>
    <w:rsid w:val="006B1081"/>
    <w:rsid w:val="006B3B30"/>
    <w:rsid w:val="006E0A90"/>
    <w:rsid w:val="006F7F26"/>
    <w:rsid w:val="0070357C"/>
    <w:rsid w:val="007524AB"/>
    <w:rsid w:val="007901E8"/>
    <w:rsid w:val="008057CA"/>
    <w:rsid w:val="00871882"/>
    <w:rsid w:val="009052C0"/>
    <w:rsid w:val="00982188"/>
    <w:rsid w:val="00A04F27"/>
    <w:rsid w:val="00A331F9"/>
    <w:rsid w:val="00A40D82"/>
    <w:rsid w:val="00A82292"/>
    <w:rsid w:val="00A835B2"/>
    <w:rsid w:val="00AD3AB2"/>
    <w:rsid w:val="00AD61E8"/>
    <w:rsid w:val="00AF3AA1"/>
    <w:rsid w:val="00B17001"/>
    <w:rsid w:val="00B75EB9"/>
    <w:rsid w:val="00BA1D7F"/>
    <w:rsid w:val="00BD216A"/>
    <w:rsid w:val="00BE7747"/>
    <w:rsid w:val="00C573B6"/>
    <w:rsid w:val="00C62A32"/>
    <w:rsid w:val="00CF74CA"/>
    <w:rsid w:val="00D3474F"/>
    <w:rsid w:val="00D66B55"/>
    <w:rsid w:val="00D72487"/>
    <w:rsid w:val="00D73A5C"/>
    <w:rsid w:val="00E0137E"/>
    <w:rsid w:val="00E1769F"/>
    <w:rsid w:val="00E34D56"/>
    <w:rsid w:val="00EE0337"/>
    <w:rsid w:val="00EF3E10"/>
    <w:rsid w:val="00F66D27"/>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82D64"/>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01AA11-4A94-474C-9681-14DB7BF8A1B5}">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69</TotalTime>
  <Pages>5</Pages>
  <Words>1957</Words>
  <Characters>11180</Characters>
  <Application>Microsoft Office Word</Application>
  <DocSecurity>4</DocSecurity>
  <Lines>385</Lines>
  <Paragraphs>230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salesforceId:034edc39-4195-4179-a886-76ee4d763b8b</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069Sl00000bVvUoIAK</vt:lpwstr>
  </property>
</Properties>
</file>