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6445A" w14:textId="77777777" w:rsidR="00BE7747" w:rsidRDefault="00D3474F" w:rsidP="00D3474F">
      <w:pPr>
        <w:jc w:val="right"/>
      </w:pPr>
      <w:r>
        <w:rPr>
          <w:noProof/>
        </w:rPr>
        <w:drawing>
          <wp:inline distT="0" distB="0" distL="0" distR="0" wp14:anchorId="42FCB289" wp14:editId="735A089C">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E78F3AE" w14:textId="77777777" w:rsidR="00D3474F" w:rsidRDefault="00D3474F" w:rsidP="00D3474F">
      <w:pPr>
        <w:pStyle w:val="Title"/>
      </w:pPr>
      <w:r>
        <w:t>Planning</w:t>
      </w:r>
    </w:p>
    <w:p w14:paraId="112942E4" w14:textId="77777777" w:rsidR="00D3474F" w:rsidRDefault="00D3474F" w:rsidP="00D3474F">
      <w:pPr>
        <w:pStyle w:val="Title"/>
      </w:pPr>
      <w:r>
        <w:t>Delegated Officer Report</w:t>
      </w:r>
    </w:p>
    <w:p w14:paraId="76F7CEC9"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7727B3F" w14:textId="77777777" w:rsidTr="003E4005">
        <w:tc>
          <w:tcPr>
            <w:tcW w:w="2830" w:type="dxa"/>
          </w:tcPr>
          <w:p w14:paraId="1BC4EA6F" w14:textId="77777777" w:rsidR="00D3474F" w:rsidRDefault="00D3474F" w:rsidP="00D3474F">
            <w:pPr>
              <w:pStyle w:val="Heading2"/>
            </w:pPr>
            <w:r>
              <w:t>Application reference:</w:t>
            </w:r>
          </w:p>
        </w:tc>
        <w:tc>
          <w:tcPr>
            <w:tcW w:w="7364" w:type="dxa"/>
          </w:tcPr>
          <w:p w14:paraId="6C627013" w14:textId="77777777" w:rsidR="00D3474F" w:rsidRDefault="00D3474F" w:rsidP="00D3474F">
            <w:r>
              <w:t>PLA-2026-000965</w:t>
            </w:r>
          </w:p>
        </w:tc>
      </w:tr>
      <w:tr w:rsidR="00D3474F" w14:paraId="062EDF67" w14:textId="77777777" w:rsidTr="003E4005">
        <w:tc>
          <w:tcPr>
            <w:tcW w:w="2830" w:type="dxa"/>
          </w:tcPr>
          <w:p w14:paraId="1DEEDA8F" w14:textId="77777777" w:rsidR="00D3474F" w:rsidRDefault="00D3474F" w:rsidP="00D3474F">
            <w:pPr>
              <w:pStyle w:val="Heading2"/>
            </w:pPr>
            <w:r>
              <w:t>Application type:</w:t>
            </w:r>
          </w:p>
        </w:tc>
        <w:tc>
          <w:tcPr>
            <w:tcW w:w="7364" w:type="dxa"/>
          </w:tcPr>
          <w:p w14:paraId="6F435C0A" w14:textId="77777777" w:rsidR="00D3474F" w:rsidRDefault="003E4005" w:rsidP="00D3474F">
            <w:r>
              <w:t>Lawful development: Proposed use</w:t>
            </w:r>
          </w:p>
        </w:tc>
      </w:tr>
      <w:tr w:rsidR="00D3474F" w14:paraId="51836F03" w14:textId="77777777" w:rsidTr="003E4005">
        <w:tc>
          <w:tcPr>
            <w:tcW w:w="2830" w:type="dxa"/>
          </w:tcPr>
          <w:p w14:paraId="4F3D17F5" w14:textId="77777777" w:rsidR="00D3474F" w:rsidRDefault="00D3474F" w:rsidP="00D3474F">
            <w:pPr>
              <w:pStyle w:val="Heading2"/>
            </w:pPr>
            <w:r>
              <w:t>Proposal:</w:t>
            </w:r>
          </w:p>
        </w:tc>
        <w:tc>
          <w:tcPr>
            <w:tcW w:w="7364" w:type="dxa"/>
          </w:tcPr>
          <w:p w14:paraId="75CCEBEA" w14:textId="77777777" w:rsidR="00D3474F" w:rsidRDefault="00D3474F" w:rsidP="00D3474F">
            <w:r w:rsidRPr="00F01B50">
              <w:rPr>
                <w:rFonts w:cs="Arial"/>
              </w:rPr>
              <w:t>Replacement of balcony surfaces and dividers, and upgrades to the fire barriers within the façade wall.</w:t>
            </w:r>
          </w:p>
        </w:tc>
      </w:tr>
      <w:tr w:rsidR="00D3474F" w14:paraId="5B6C034D" w14:textId="77777777" w:rsidTr="003E4005">
        <w:tc>
          <w:tcPr>
            <w:tcW w:w="2830" w:type="dxa"/>
          </w:tcPr>
          <w:p w14:paraId="3A469B6F" w14:textId="77777777" w:rsidR="00D3474F" w:rsidRDefault="00D3474F" w:rsidP="00D3474F">
            <w:pPr>
              <w:pStyle w:val="Heading2"/>
            </w:pPr>
            <w:r>
              <w:t>Site address:</w:t>
            </w:r>
          </w:p>
        </w:tc>
        <w:tc>
          <w:tcPr>
            <w:tcW w:w="7364" w:type="dxa"/>
          </w:tcPr>
          <w:p w14:paraId="41C5C6E4" w14:textId="77777777" w:rsidR="00D3474F" w:rsidRDefault="00F96A58" w:rsidP="00D3474F">
            <w:r w:rsidRPr="00F96A58">
              <w:rPr>
                <w:rFonts w:cs="Arial"/>
              </w:rPr>
              <w:t>Lockes Yard 4 Great Marlborough Street Manchester M1 5AL</w:t>
            </w:r>
          </w:p>
        </w:tc>
      </w:tr>
      <w:tr w:rsidR="00D3474F" w14:paraId="57FD1DF4" w14:textId="77777777" w:rsidTr="003E4005">
        <w:tc>
          <w:tcPr>
            <w:tcW w:w="2830" w:type="dxa"/>
          </w:tcPr>
          <w:p w14:paraId="59C77F15" w14:textId="77777777" w:rsidR="00D3474F" w:rsidRDefault="00D3474F" w:rsidP="00D3474F">
            <w:pPr>
              <w:pStyle w:val="Heading2"/>
            </w:pPr>
            <w:r>
              <w:t>Ward(s):</w:t>
            </w:r>
          </w:p>
        </w:tc>
        <w:tc>
          <w:tcPr>
            <w:tcW w:w="7364" w:type="dxa"/>
          </w:tcPr>
          <w:p w14:paraId="556327DD" w14:textId="77777777" w:rsidR="00D3474F" w:rsidRDefault="00D3474F" w:rsidP="00D3474F">
            <w:r w:rsidRPr="00F01B50">
              <w:rPr>
                <w:rFonts w:cs="Arial"/>
                <w:bCs/>
              </w:rPr>
              <w:t>Deansgate</w:t>
            </w:r>
          </w:p>
        </w:tc>
      </w:tr>
      <w:tr w:rsidR="00D3474F" w14:paraId="615E4D3C" w14:textId="77777777" w:rsidTr="003E4005">
        <w:tc>
          <w:tcPr>
            <w:tcW w:w="2830" w:type="dxa"/>
          </w:tcPr>
          <w:p w14:paraId="2472FD39" w14:textId="77777777" w:rsidR="00D3474F" w:rsidRDefault="00D3474F" w:rsidP="00D3474F">
            <w:pPr>
              <w:pStyle w:val="Heading2"/>
            </w:pPr>
            <w:r>
              <w:t>Date application valid:</w:t>
            </w:r>
          </w:p>
        </w:tc>
        <w:tc>
          <w:tcPr>
            <w:tcW w:w="7364" w:type="dxa"/>
          </w:tcPr>
          <w:p w14:paraId="6A69368A" w14:textId="77777777" w:rsidR="00D3474F" w:rsidRPr="00F01B50" w:rsidRDefault="00D3474F" w:rsidP="00D3474F">
            <w:pPr>
              <w:rPr>
                <w:rFonts w:cs="Arial"/>
                <w:bCs/>
              </w:rPr>
            </w:pPr>
            <w:r w:rsidRPr="00F01B50">
              <w:rPr>
                <w:rFonts w:eastAsia="MS Mincho" w:cs="Arial"/>
                <w:kern w:val="0"/>
                <w14:ligatures w14:val="none"/>
              </w:rPr>
              <w:t>16 July 2026</w:t>
            </w:r>
          </w:p>
        </w:tc>
      </w:tr>
      <w:tr w:rsidR="00D3474F" w14:paraId="031DABCB" w14:textId="77777777" w:rsidTr="003E4005">
        <w:tc>
          <w:tcPr>
            <w:tcW w:w="2830" w:type="dxa"/>
          </w:tcPr>
          <w:p w14:paraId="79C5CF5C" w14:textId="77777777" w:rsidR="00D3474F" w:rsidRDefault="00D3474F" w:rsidP="00D3474F">
            <w:pPr>
              <w:pStyle w:val="Heading2"/>
            </w:pPr>
            <w:r>
              <w:t>Applicant name:</w:t>
            </w:r>
          </w:p>
        </w:tc>
        <w:tc>
          <w:tcPr>
            <w:tcW w:w="7364" w:type="dxa"/>
          </w:tcPr>
          <w:p w14:paraId="34B0F116" w14:textId="77777777" w:rsidR="00D3474F" w:rsidRDefault="00D3474F" w:rsidP="00D3474F">
            <w:r w:rsidRPr="00F01B50">
              <w:rPr>
                <w:rFonts w:cs="Arial"/>
              </w:rPr>
              <w:t>Mr Idris Bapu</w:t>
            </w:r>
          </w:p>
        </w:tc>
      </w:tr>
      <w:tr w:rsidR="00D3474F" w14:paraId="4501C5B4" w14:textId="77777777" w:rsidTr="003E4005">
        <w:tc>
          <w:tcPr>
            <w:tcW w:w="2830" w:type="dxa"/>
          </w:tcPr>
          <w:p w14:paraId="24543336" w14:textId="77777777" w:rsidR="00D3474F" w:rsidRDefault="00D3474F" w:rsidP="00D3474F">
            <w:pPr>
              <w:pStyle w:val="Heading2"/>
            </w:pPr>
            <w:r>
              <w:t>Agent (if any):</w:t>
            </w:r>
          </w:p>
        </w:tc>
        <w:tc>
          <w:tcPr>
            <w:tcW w:w="7364" w:type="dxa"/>
          </w:tcPr>
          <w:p w14:paraId="4D3D5564" w14:textId="77777777" w:rsidR="00D3474F" w:rsidRDefault="00D3474F" w:rsidP="00D3474F">
            <w:r>
              <w:t>Mr David Smart</w:t>
            </w:r>
          </w:p>
        </w:tc>
      </w:tr>
      <w:tr w:rsidR="00D3474F" w14:paraId="02952EDB" w14:textId="77777777" w:rsidTr="003E4005">
        <w:tc>
          <w:tcPr>
            <w:tcW w:w="2830" w:type="dxa"/>
          </w:tcPr>
          <w:p w14:paraId="700A6533" w14:textId="77777777" w:rsidR="00D3474F" w:rsidRDefault="00D3474F" w:rsidP="00D3474F">
            <w:pPr>
              <w:pStyle w:val="Heading2"/>
            </w:pPr>
            <w:r>
              <w:t>Case officer:</w:t>
            </w:r>
          </w:p>
        </w:tc>
        <w:tc>
          <w:tcPr>
            <w:tcW w:w="7364" w:type="dxa"/>
          </w:tcPr>
          <w:p w14:paraId="59D95B6C" w14:textId="77777777" w:rsidR="00D3474F" w:rsidRDefault="00D3474F" w:rsidP="00D3474F">
            <w:r>
              <w:t>Robert Tyrer</w:t>
            </w:r>
          </w:p>
        </w:tc>
      </w:tr>
      <w:tr w:rsidR="00D3474F" w14:paraId="042DE09F" w14:textId="77777777" w:rsidTr="003E4005">
        <w:tc>
          <w:tcPr>
            <w:tcW w:w="2830" w:type="dxa"/>
          </w:tcPr>
          <w:p w14:paraId="30333B43" w14:textId="77777777" w:rsidR="00D3474F" w:rsidRDefault="00D3474F" w:rsidP="00D3474F">
            <w:pPr>
              <w:pStyle w:val="Heading2"/>
            </w:pPr>
            <w:r>
              <w:t>Recommendation:</w:t>
            </w:r>
          </w:p>
        </w:tc>
        <w:tc>
          <w:tcPr>
            <w:tcW w:w="7364" w:type="dxa"/>
          </w:tcPr>
          <w:p w14:paraId="3875398E" w14:textId="5138F7AA" w:rsidR="00D3474F" w:rsidRDefault="006639D6" w:rsidP="00D3474F">
            <w:r>
              <w:t>Refuse</w:t>
            </w:r>
          </w:p>
        </w:tc>
      </w:tr>
      <w:tr w:rsidR="00D3474F" w14:paraId="52F92F61" w14:textId="77777777" w:rsidTr="003E4005">
        <w:tc>
          <w:tcPr>
            <w:tcW w:w="2830" w:type="dxa"/>
          </w:tcPr>
          <w:p w14:paraId="6F0ED3AE" w14:textId="77777777" w:rsidR="00D3474F" w:rsidRDefault="00D3474F" w:rsidP="00D3474F">
            <w:pPr>
              <w:pStyle w:val="Heading2"/>
            </w:pPr>
            <w:r>
              <w:t>Date of recommendation:</w:t>
            </w:r>
          </w:p>
        </w:tc>
        <w:tc>
          <w:tcPr>
            <w:tcW w:w="7364" w:type="dxa"/>
          </w:tcPr>
          <w:p w14:paraId="26DBA297" w14:textId="77777777" w:rsidR="00D3474F" w:rsidRDefault="00F96A58" w:rsidP="00D3474F">
            <w:r w:rsidRPr="00F96A58">
              <w:t>11 September 2026</w:t>
            </w:r>
          </w:p>
        </w:tc>
      </w:tr>
    </w:tbl>
    <w:p w14:paraId="3C9B82BE" w14:textId="77777777" w:rsidR="00D3474F" w:rsidRDefault="00D3474F" w:rsidP="00D3474F"/>
    <w:p w14:paraId="34F37915" w14:textId="77777777" w:rsidR="00EF3E10" w:rsidRDefault="00EF3E10" w:rsidP="00286AD9">
      <w:pPr>
        <w:pStyle w:val="Heading1"/>
        <w:jc w:val="both"/>
      </w:pPr>
      <w:r>
        <w:t>Description of site, building and/or area</w:t>
      </w:r>
    </w:p>
    <w:p w14:paraId="7B78EE19" w14:textId="77777777" w:rsidR="0060008F" w:rsidRDefault="0060008F" w:rsidP="00286AD9">
      <w:pPr>
        <w:jc w:val="both"/>
      </w:pPr>
    </w:p>
    <w:p w14:paraId="40012253" w14:textId="246527BC" w:rsidR="006639D6" w:rsidRDefault="006639D6" w:rsidP="00286AD9">
      <w:pPr>
        <w:jc w:val="both"/>
      </w:pPr>
      <w:r>
        <w:t xml:space="preserve">The application site relates to a residential development located within the City Centre known as Lockes Yard. The development comprises of two residential blocks which are six storeys in height. </w:t>
      </w:r>
    </w:p>
    <w:p w14:paraId="28F11C0D" w14:textId="77777777" w:rsidR="006639D6" w:rsidRDefault="006639D6" w:rsidP="00286AD9">
      <w:pPr>
        <w:jc w:val="both"/>
      </w:pPr>
    </w:p>
    <w:p w14:paraId="69531C42" w14:textId="77777777" w:rsidR="00EF3E10" w:rsidRDefault="00EF3E10" w:rsidP="00286AD9">
      <w:pPr>
        <w:pStyle w:val="Heading1"/>
        <w:jc w:val="both"/>
      </w:pPr>
      <w:r>
        <w:t>Description of development</w:t>
      </w:r>
    </w:p>
    <w:p w14:paraId="346FEE76" w14:textId="445F678D" w:rsidR="00EF3E10" w:rsidRDefault="00132C81" w:rsidP="00286AD9">
      <w:pPr>
        <w:jc w:val="both"/>
      </w:pPr>
      <w:r>
        <w:rPr>
          <w:rFonts w:cs="Arial"/>
          <w:color w:val="000000"/>
        </w:rPr>
        <w:t>The applicant is seeking a certificate of lawfulness for</w:t>
      </w:r>
      <w:r>
        <w:rPr>
          <w:rFonts w:cs="Arial"/>
          <w:color w:val="000000"/>
        </w:rPr>
        <w:t xml:space="preserve"> the r</w:t>
      </w:r>
      <w:r w:rsidRPr="00132C81">
        <w:rPr>
          <w:rFonts w:cs="Arial"/>
          <w:color w:val="000000"/>
        </w:rPr>
        <w:t>eplacement of balcony surfaces and dividers, and upgrades to the fire barriers within the façade wall.</w:t>
      </w:r>
    </w:p>
    <w:p w14:paraId="451C0094" w14:textId="77777777" w:rsidR="00EF3E10" w:rsidRDefault="00EF3E10" w:rsidP="00286AD9">
      <w:pPr>
        <w:pStyle w:val="Heading1"/>
        <w:jc w:val="both"/>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3F91BBC8" w14:textId="77777777" w:rsidTr="00B75EB9">
        <w:tc>
          <w:tcPr>
            <w:tcW w:w="10336" w:type="dxa"/>
          </w:tcPr>
          <w:p w14:paraId="21C1AAB5" w14:textId="77777777" w:rsidR="00D66B55" w:rsidRDefault="0031160E" w:rsidP="00286AD9">
            <w:pPr>
              <w:jc w:val="both"/>
            </w:pPr>
            <w:r>
              <w:t xml:space="preserve">Planning Application Reference: </w:t>
            </w:r>
            <w:r w:rsidRPr="0031160E">
              <w:t>057861/FO/CITY3/99</w:t>
            </w:r>
          </w:p>
          <w:p w14:paraId="5FE7D6A9" w14:textId="528E45D4" w:rsidR="0031160E" w:rsidRDefault="0031160E" w:rsidP="00286AD9">
            <w:pPr>
              <w:jc w:val="both"/>
            </w:pPr>
            <w:r>
              <w:t>Description:</w:t>
            </w:r>
            <w:r w:rsidRPr="0031160E">
              <w:rPr>
                <w:rFonts w:ascii="Segoe UI" w:hAnsi="Segoe UI" w:cs="Segoe UI"/>
                <w:color w:val="181818"/>
                <w:sz w:val="20"/>
                <w:szCs w:val="20"/>
                <w:shd w:val="clear" w:color="auto" w:fill="FFFFFF"/>
              </w:rPr>
              <w:t xml:space="preserve"> </w:t>
            </w:r>
            <w:r w:rsidRPr="0031160E">
              <w:t>Mixed development comprising 32no. residential units with ground floor office use</w:t>
            </w:r>
          </w:p>
          <w:p w14:paraId="30DE725A" w14:textId="336CDDBF" w:rsidR="0031160E" w:rsidRDefault="0031160E" w:rsidP="00286AD9">
            <w:pPr>
              <w:jc w:val="both"/>
            </w:pPr>
            <w:r>
              <w:t>Decision: Approve</w:t>
            </w:r>
          </w:p>
          <w:p w14:paraId="0D56373C" w14:textId="7C26BF1A" w:rsidR="0031160E" w:rsidRDefault="0031160E" w:rsidP="00286AD9">
            <w:pPr>
              <w:jc w:val="both"/>
            </w:pPr>
            <w:r>
              <w:t xml:space="preserve">Date: </w:t>
            </w:r>
            <w:r w:rsidRPr="0031160E">
              <w:t>29/03/2000</w:t>
            </w:r>
          </w:p>
        </w:tc>
      </w:tr>
    </w:tbl>
    <w:p w14:paraId="54DDD055" w14:textId="77777777" w:rsidR="00EF3E10" w:rsidRDefault="00C62A32" w:rsidP="00286AD9">
      <w:pPr>
        <w:pStyle w:val="Heading1"/>
        <w:jc w:val="both"/>
      </w:pPr>
      <w:r>
        <w:t>Consultation, notification and publicity responses</w:t>
      </w:r>
    </w:p>
    <w:p w14:paraId="43A5156E" w14:textId="77777777" w:rsidR="00132C81" w:rsidRDefault="00132C81" w:rsidP="00286AD9">
      <w:pPr>
        <w:pStyle w:val="NormalWeb"/>
        <w:jc w:val="both"/>
        <w:rPr>
          <w:rFonts w:ascii="Arial" w:hAnsi="Arial" w:cs="Arial"/>
          <w:color w:val="000000"/>
        </w:rPr>
      </w:pPr>
      <w:r>
        <w:rPr>
          <w:rFonts w:ascii="Arial" w:hAnsi="Arial" w:cs="Arial"/>
          <w:color w:val="000000"/>
        </w:rPr>
        <w:t>None Required - There is no statutory requirement to consult third parties, including neighbours. Any views expressed by third parties regarding the planning merits of the case, or whether the applicant has private rights to carry out the proposed operation, use, or activity, are irrelevant when determining the application. </w:t>
      </w:r>
    </w:p>
    <w:p w14:paraId="2F33E738" w14:textId="77777777" w:rsidR="00132C81" w:rsidRDefault="00132C81" w:rsidP="00286AD9">
      <w:pPr>
        <w:pStyle w:val="NormalWeb"/>
        <w:jc w:val="both"/>
        <w:rPr>
          <w:rFonts w:ascii="Arial" w:hAnsi="Arial" w:cs="Arial"/>
          <w:color w:val="000000"/>
        </w:rPr>
      </w:pPr>
      <w:r>
        <w:rPr>
          <w:rStyle w:val="Strong"/>
          <w:rFonts w:ascii="Arial" w:hAnsi="Arial" w:cs="Arial"/>
          <w:color w:val="000000"/>
          <w:u w:val="single"/>
        </w:rPr>
        <w:t>Legislative Issues</w:t>
      </w:r>
    </w:p>
    <w:p w14:paraId="753A0E81" w14:textId="77777777" w:rsidR="00132C81" w:rsidRDefault="00132C81" w:rsidP="00286AD9">
      <w:pPr>
        <w:pStyle w:val="NormalWeb"/>
        <w:jc w:val="both"/>
        <w:rPr>
          <w:rFonts w:ascii="Arial" w:hAnsi="Arial" w:cs="Arial"/>
          <w:color w:val="000000"/>
        </w:rPr>
      </w:pPr>
      <w:r>
        <w:rPr>
          <w:rFonts w:ascii="Arial" w:hAnsi="Arial" w:cs="Arial"/>
          <w:color w:val="000000"/>
        </w:rPr>
        <w:lastRenderedPageBreak/>
        <w:t>Sections 191 and 192 of the Town and Country Planning Act 1990 provide for anyone (not just a person with a legal interest in the land) to apply to the local planning authority (LPA) for a lawful development certificate (LDC). A certificate is a statutory document certifying:</w:t>
      </w:r>
    </w:p>
    <w:p w14:paraId="4F4B6FC9" w14:textId="77777777" w:rsidR="00132C81" w:rsidRDefault="00132C81" w:rsidP="00286AD9">
      <w:pPr>
        <w:pStyle w:val="ql-indent-1"/>
        <w:ind w:left="720"/>
        <w:jc w:val="both"/>
        <w:rPr>
          <w:rFonts w:ascii="Arial" w:hAnsi="Arial" w:cs="Arial"/>
          <w:color w:val="000000"/>
        </w:rPr>
      </w:pPr>
      <w:r>
        <w:rPr>
          <w:rFonts w:ascii="Arial" w:hAnsi="Arial" w:cs="Arial"/>
          <w:color w:val="000000"/>
        </w:rPr>
        <w:t>(1) in the case of an application under section 191, the lawfulness, for planning purposes, of existing operations on, or use of land, or some activity being carried out in breach of a planning condition; or</w:t>
      </w:r>
    </w:p>
    <w:p w14:paraId="1C0C54DA" w14:textId="77777777" w:rsidR="00132C81" w:rsidRDefault="00132C81" w:rsidP="00286AD9">
      <w:pPr>
        <w:pStyle w:val="ql-indent-1"/>
        <w:ind w:left="720"/>
        <w:jc w:val="both"/>
        <w:rPr>
          <w:rFonts w:ascii="Arial" w:hAnsi="Arial" w:cs="Arial"/>
          <w:color w:val="000000"/>
        </w:rPr>
      </w:pPr>
      <w:r>
        <w:rPr>
          <w:rFonts w:ascii="Arial" w:hAnsi="Arial" w:cs="Arial"/>
          <w:color w:val="000000"/>
        </w:rPr>
        <w:t>(2) in the case of an application under section 192, the lawfulness of proposed operations on, or use of land.</w:t>
      </w:r>
    </w:p>
    <w:p w14:paraId="201FF914" w14:textId="77777777" w:rsidR="00132C81" w:rsidRDefault="00132C81" w:rsidP="00286AD9">
      <w:pPr>
        <w:pStyle w:val="NormalWeb"/>
        <w:jc w:val="both"/>
        <w:rPr>
          <w:rFonts w:ascii="Arial" w:hAnsi="Arial" w:cs="Arial"/>
          <w:color w:val="000000"/>
        </w:rPr>
      </w:pPr>
      <w:r>
        <w:rPr>
          <w:rFonts w:ascii="Arial" w:hAnsi="Arial" w:cs="Arial"/>
          <w:color w:val="000000"/>
        </w:rPr>
        <w:t xml:space="preserve">The onus of proof </w:t>
      </w:r>
      <w:proofErr w:type="gramStart"/>
      <w:r>
        <w:rPr>
          <w:rFonts w:ascii="Arial" w:hAnsi="Arial" w:cs="Arial"/>
          <w:color w:val="000000"/>
        </w:rPr>
        <w:t>in regard to</w:t>
      </w:r>
      <w:proofErr w:type="gramEnd"/>
      <w:r>
        <w:rPr>
          <w:rFonts w:ascii="Arial" w:hAnsi="Arial" w:cs="Arial"/>
          <w:color w:val="000000"/>
        </w:rPr>
        <w:t xml:space="preserve"> (1) is firmly on the applicant and the issue of a certificate will depend on the on factual evidence provided about the history and planning status of the building or other land and the interpretation of any relevant planning law or judicial authority. The relevant test of the evidence in this matter is “the balance of probability” and the applicants own evidence does not need to be corroborated by independent evidence. If the LPA have no evidence to contradict the applicants version of events or make them less then probable, there is no good reason to refuse the issue of a certificate.</w:t>
      </w:r>
    </w:p>
    <w:p w14:paraId="05A32B7E" w14:textId="77777777" w:rsidR="00132C81" w:rsidRDefault="00132C81" w:rsidP="00286AD9">
      <w:pPr>
        <w:pStyle w:val="NormalWeb"/>
        <w:jc w:val="both"/>
        <w:rPr>
          <w:rFonts w:ascii="Arial" w:hAnsi="Arial" w:cs="Arial"/>
          <w:color w:val="000000"/>
        </w:rPr>
      </w:pPr>
      <w:r>
        <w:rPr>
          <w:rFonts w:ascii="Arial" w:hAnsi="Arial" w:cs="Arial"/>
          <w:color w:val="000000"/>
        </w:rPr>
        <w:t>In regard to (2), this provides that, if the LPA are supplied with information satisfying them that the use or operations described in the application would be lawful, if instituted or begun at the time of the application, they shall issue a certificate to that effect; and, in any other case, they shall refuse the application.</w:t>
      </w:r>
    </w:p>
    <w:p w14:paraId="5FC82F3A" w14:textId="77777777" w:rsidR="00132C81" w:rsidRDefault="00132C81" w:rsidP="00286AD9">
      <w:pPr>
        <w:pStyle w:val="NormalWeb"/>
        <w:jc w:val="both"/>
        <w:rPr>
          <w:rFonts w:ascii="Arial" w:hAnsi="Arial" w:cs="Arial"/>
          <w:color w:val="000000"/>
        </w:rPr>
      </w:pPr>
      <w:r>
        <w:rPr>
          <w:rFonts w:ascii="Arial" w:hAnsi="Arial" w:cs="Arial"/>
          <w:color w:val="000000"/>
        </w:rPr>
        <w:t>In short, the purpose section 192 is to enable any person who wishes to find out whether any proposed use or operations would be lawful to apply to the LPA for that purpose</w:t>
      </w:r>
    </w:p>
    <w:p w14:paraId="1DC8B597" w14:textId="77777777" w:rsidR="00132C81" w:rsidRDefault="00132C81" w:rsidP="00286AD9">
      <w:pPr>
        <w:pStyle w:val="NormalWeb"/>
        <w:jc w:val="both"/>
        <w:rPr>
          <w:rFonts w:ascii="Arial" w:hAnsi="Arial" w:cs="Arial"/>
          <w:color w:val="000000"/>
        </w:rPr>
      </w:pPr>
      <w:r>
        <w:rPr>
          <w:rFonts w:ascii="Arial" w:hAnsi="Arial" w:cs="Arial"/>
          <w:color w:val="000000"/>
        </w:rPr>
        <w:t>The application needs to describe the proposal with sufficient clarity and precision to enable the LPA to understand (from a written description and plans) exactly what is involved in the proposal; and to submit whatever supporting information or legal submission that are to be relied upon in order to satisfy the LPA that a certificate should be granted for the proposal.</w:t>
      </w:r>
    </w:p>
    <w:p w14:paraId="37EB1C73" w14:textId="77777777" w:rsidR="00132C81" w:rsidRDefault="00132C81" w:rsidP="00286AD9">
      <w:pPr>
        <w:pStyle w:val="NormalWeb"/>
        <w:jc w:val="both"/>
        <w:rPr>
          <w:rFonts w:ascii="Arial" w:hAnsi="Arial" w:cs="Arial"/>
          <w:color w:val="000000"/>
        </w:rPr>
      </w:pPr>
      <w:r>
        <w:rPr>
          <w:rFonts w:ascii="Arial" w:hAnsi="Arial" w:cs="Arial"/>
          <w:color w:val="000000"/>
        </w:rPr>
        <w:t xml:space="preserve">In making their decision on an application under section 192, the LPA ask themselves the hypothetical question - </w:t>
      </w:r>
      <w:r>
        <w:rPr>
          <w:rStyle w:val="Emphasis"/>
          <w:rFonts w:ascii="Arial" w:hAnsi="Arial" w:cs="Arial"/>
          <w:color w:val="000000"/>
        </w:rPr>
        <w:t>"If this proposed change of use had already occurred, or if this proposed operation had commenced, on the application date, would it have been lawful for planning purposes?"</w:t>
      </w:r>
      <w:r>
        <w:rPr>
          <w:rFonts w:ascii="Arial" w:hAnsi="Arial" w:cs="Arial"/>
          <w:color w:val="000000"/>
        </w:rPr>
        <w:t xml:space="preserve"> In doing so, the LPA will not only consider whether the proposal would involve "development" requiring an application for planning permission, but whether it would involve a breach of any existing condition or limitation imposed on a grant of planning permission which has been acted upon, and which therefore constrains what can be done on the land. The LPA will not make a proposal fit a scenario; the only question is whether the proposal made by the applicant is lawful at the time of submission.</w:t>
      </w:r>
    </w:p>
    <w:p w14:paraId="51AF4344" w14:textId="77777777" w:rsidR="00132C81" w:rsidRDefault="00132C81" w:rsidP="00286AD9">
      <w:pPr>
        <w:pStyle w:val="Heading1"/>
        <w:jc w:val="both"/>
      </w:pPr>
      <w:r>
        <w:t>Assessment</w:t>
      </w:r>
    </w:p>
    <w:p w14:paraId="4BB4593A" w14:textId="77777777" w:rsidR="00132C81" w:rsidRDefault="00132C81" w:rsidP="00286AD9">
      <w:pPr>
        <w:pStyle w:val="NormalWeb"/>
        <w:jc w:val="both"/>
        <w:rPr>
          <w:rFonts w:ascii="Arial" w:hAnsi="Arial" w:cs="Arial"/>
          <w:color w:val="000000"/>
        </w:rPr>
      </w:pPr>
      <w:r>
        <w:rPr>
          <w:rFonts w:ascii="Arial" w:hAnsi="Arial" w:cs="Arial"/>
          <w:color w:val="000000"/>
        </w:rPr>
        <w:t>This application is pursued under subsection (1) of section 192, which provides for an application to determine whether any proposed use or operations would be lawful for planning purposes.</w:t>
      </w:r>
    </w:p>
    <w:p w14:paraId="60CFD185" w14:textId="5DBE449A" w:rsidR="00132C81" w:rsidRDefault="00132C81" w:rsidP="00286AD9">
      <w:pPr>
        <w:pStyle w:val="NormalWeb"/>
        <w:jc w:val="both"/>
        <w:rPr>
          <w:rFonts w:ascii="Arial" w:hAnsi="Arial" w:cs="Arial"/>
          <w:color w:val="000000"/>
        </w:rPr>
      </w:pPr>
      <w:r>
        <w:rPr>
          <w:rFonts w:ascii="Arial" w:hAnsi="Arial" w:cs="Arial"/>
          <w:color w:val="000000"/>
        </w:rPr>
        <w:t>In support of the application the applicant has provided both existing and proposed drawings</w:t>
      </w:r>
      <w:r>
        <w:rPr>
          <w:rFonts w:ascii="Arial" w:hAnsi="Arial" w:cs="Arial"/>
          <w:color w:val="000000"/>
        </w:rPr>
        <w:t xml:space="preserve"> </w:t>
      </w:r>
      <w:r>
        <w:rPr>
          <w:rFonts w:ascii="Arial" w:hAnsi="Arial" w:cs="Arial"/>
          <w:color w:val="000000"/>
        </w:rPr>
        <w:t>a</w:t>
      </w:r>
      <w:r>
        <w:rPr>
          <w:rFonts w:ascii="Arial" w:hAnsi="Arial" w:cs="Arial"/>
          <w:color w:val="000000"/>
        </w:rPr>
        <w:t>n</w:t>
      </w:r>
      <w:r>
        <w:rPr>
          <w:rFonts w:ascii="Arial" w:hAnsi="Arial" w:cs="Arial"/>
          <w:color w:val="000000"/>
        </w:rPr>
        <w:t xml:space="preserve">d a design statement. </w:t>
      </w:r>
    </w:p>
    <w:p w14:paraId="1FA5D826" w14:textId="77777777" w:rsidR="00132C81" w:rsidRDefault="00132C81" w:rsidP="00286AD9">
      <w:pPr>
        <w:pStyle w:val="NormalWeb"/>
        <w:jc w:val="both"/>
        <w:rPr>
          <w:rFonts w:ascii="Arial" w:hAnsi="Arial" w:cs="Arial"/>
          <w:color w:val="000000"/>
        </w:rPr>
      </w:pPr>
      <w:r>
        <w:rPr>
          <w:rFonts w:ascii="Arial" w:hAnsi="Arial" w:cs="Arial"/>
          <w:color w:val="000000"/>
        </w:rPr>
        <w:t xml:space="preserve">The proposals design and access statement explains that the proposed works comprise of the following: </w:t>
      </w:r>
    </w:p>
    <w:p w14:paraId="7E5216F1" w14:textId="562463E2" w:rsidR="00132C81" w:rsidRPr="00132C81" w:rsidRDefault="00132C81" w:rsidP="00286AD9">
      <w:pPr>
        <w:pStyle w:val="NormalWeb"/>
        <w:numPr>
          <w:ilvl w:val="0"/>
          <w:numId w:val="6"/>
        </w:numPr>
        <w:jc w:val="both"/>
        <w:rPr>
          <w:rFonts w:ascii="Arial" w:hAnsi="Arial" w:cs="Arial"/>
          <w:color w:val="000000"/>
        </w:rPr>
      </w:pPr>
      <w:r w:rsidRPr="00132C81">
        <w:rPr>
          <w:rFonts w:ascii="Arial" w:hAnsi="Arial" w:cs="Arial"/>
          <w:color w:val="000000"/>
        </w:rPr>
        <w:lastRenderedPageBreak/>
        <w:t>The existing combustible timber T&amp;G cladding balcony dividers will be replaced with the Cedral Click Fibre Cement cladding system</w:t>
      </w:r>
      <w:r w:rsidR="006639D6">
        <w:rPr>
          <w:rFonts w:ascii="Arial" w:hAnsi="Arial" w:cs="Arial"/>
          <w:color w:val="000000"/>
        </w:rPr>
        <w:t>.</w:t>
      </w:r>
    </w:p>
    <w:p w14:paraId="78E3CE26" w14:textId="56780ADB" w:rsidR="00132C81" w:rsidRPr="00132C81" w:rsidRDefault="00132C81" w:rsidP="00286AD9">
      <w:pPr>
        <w:pStyle w:val="NormalWeb"/>
        <w:numPr>
          <w:ilvl w:val="0"/>
          <w:numId w:val="6"/>
        </w:numPr>
        <w:jc w:val="both"/>
        <w:rPr>
          <w:rFonts w:ascii="Arial" w:hAnsi="Arial" w:cs="Arial"/>
          <w:color w:val="000000"/>
        </w:rPr>
      </w:pPr>
      <w:r w:rsidRPr="00132C81">
        <w:rPr>
          <w:rFonts w:ascii="Arial" w:hAnsi="Arial" w:cs="Arial"/>
          <w:color w:val="000000"/>
        </w:rPr>
        <w:t xml:space="preserve">Existing Timber decking on balconies to be replaced with Ryno </w:t>
      </w:r>
      <w:proofErr w:type="spellStart"/>
      <w:r w:rsidRPr="00132C81">
        <w:rPr>
          <w:rFonts w:ascii="Arial" w:hAnsi="Arial" w:cs="Arial"/>
          <w:color w:val="000000"/>
        </w:rPr>
        <w:t>Balcasmart</w:t>
      </w:r>
      <w:proofErr w:type="spellEnd"/>
      <w:r w:rsidRPr="00132C81">
        <w:rPr>
          <w:rFonts w:ascii="Arial" w:hAnsi="Arial" w:cs="Arial"/>
          <w:color w:val="000000"/>
        </w:rPr>
        <w:t xml:space="preserve"> </w:t>
      </w:r>
    </w:p>
    <w:p w14:paraId="049DD63D" w14:textId="7E809AFA" w:rsidR="00132C81" w:rsidRPr="00132C81" w:rsidRDefault="00132C81" w:rsidP="00286AD9">
      <w:pPr>
        <w:pStyle w:val="NormalWeb"/>
        <w:numPr>
          <w:ilvl w:val="0"/>
          <w:numId w:val="6"/>
        </w:numPr>
        <w:jc w:val="both"/>
        <w:rPr>
          <w:rFonts w:ascii="Arial" w:hAnsi="Arial" w:cs="Arial"/>
          <w:color w:val="000000"/>
        </w:rPr>
      </w:pPr>
      <w:r w:rsidRPr="00132C81">
        <w:rPr>
          <w:rFonts w:ascii="Arial" w:hAnsi="Arial" w:cs="Arial"/>
          <w:color w:val="000000"/>
        </w:rPr>
        <w:t xml:space="preserve">Fire Barriers to be installed along horizontal and vertical compartment lines of the Curtain Wall system and surround in brickwork to form compartments </w:t>
      </w:r>
    </w:p>
    <w:p w14:paraId="7E629CFB" w14:textId="5CAD46C3" w:rsidR="00132C81" w:rsidRPr="00132C81" w:rsidRDefault="00132C81" w:rsidP="00286AD9">
      <w:pPr>
        <w:pStyle w:val="NormalWeb"/>
        <w:numPr>
          <w:ilvl w:val="0"/>
          <w:numId w:val="6"/>
        </w:numPr>
        <w:jc w:val="both"/>
        <w:rPr>
          <w:rFonts w:ascii="Arial" w:hAnsi="Arial" w:cs="Arial"/>
          <w:color w:val="000000"/>
        </w:rPr>
      </w:pPr>
      <w:r w:rsidRPr="00132C81">
        <w:rPr>
          <w:rFonts w:ascii="Arial" w:hAnsi="Arial" w:cs="Arial"/>
          <w:color w:val="000000"/>
        </w:rPr>
        <w:t xml:space="preserve">Vent fittings where necessary will be replaced with like for like </w:t>
      </w:r>
      <w:proofErr w:type="spellStart"/>
      <w:r w:rsidRPr="00132C81">
        <w:rPr>
          <w:rFonts w:ascii="Arial" w:hAnsi="Arial" w:cs="Arial"/>
          <w:color w:val="000000"/>
        </w:rPr>
        <w:t>non</w:t>
      </w:r>
      <w:r>
        <w:rPr>
          <w:rFonts w:ascii="Arial" w:hAnsi="Arial" w:cs="Arial"/>
          <w:color w:val="000000"/>
        </w:rPr>
        <w:t xml:space="preserve"> </w:t>
      </w:r>
      <w:r w:rsidRPr="00132C81">
        <w:rPr>
          <w:rFonts w:ascii="Arial" w:hAnsi="Arial" w:cs="Arial"/>
          <w:color w:val="000000"/>
        </w:rPr>
        <w:t>combustible</w:t>
      </w:r>
      <w:proofErr w:type="spellEnd"/>
      <w:r w:rsidRPr="00132C81">
        <w:rPr>
          <w:rFonts w:ascii="Arial" w:hAnsi="Arial" w:cs="Arial"/>
          <w:color w:val="000000"/>
        </w:rPr>
        <w:t xml:space="preserve"> products. </w:t>
      </w:r>
    </w:p>
    <w:p w14:paraId="5AD5E32C" w14:textId="3B58E746" w:rsidR="00132C81" w:rsidRDefault="00132C81" w:rsidP="00286AD9">
      <w:pPr>
        <w:pStyle w:val="NormalWeb"/>
        <w:numPr>
          <w:ilvl w:val="0"/>
          <w:numId w:val="6"/>
        </w:numPr>
        <w:jc w:val="both"/>
        <w:rPr>
          <w:rFonts w:ascii="Arial" w:hAnsi="Arial" w:cs="Arial"/>
          <w:color w:val="000000"/>
        </w:rPr>
      </w:pPr>
      <w:r w:rsidRPr="00132C81">
        <w:rPr>
          <w:rFonts w:ascii="Arial" w:hAnsi="Arial" w:cs="Arial"/>
          <w:color w:val="000000"/>
        </w:rPr>
        <w:t>All fixtures and fittings from facades where necessary to facilitate works including, CCTV cameras, signage, access control call points, light fixtures, rainwater goods and associated fixings will be removed, retained, and reinstated prior to completion.</w:t>
      </w:r>
    </w:p>
    <w:p w14:paraId="6AD4C148" w14:textId="5A79030C" w:rsidR="00132C81" w:rsidRDefault="00132C81" w:rsidP="00286AD9">
      <w:pPr>
        <w:pStyle w:val="NormalWeb"/>
        <w:jc w:val="both"/>
        <w:rPr>
          <w:rFonts w:ascii="Arial" w:hAnsi="Arial" w:cs="Arial"/>
          <w:color w:val="000000"/>
        </w:rPr>
      </w:pPr>
      <w:r>
        <w:rPr>
          <w:rFonts w:ascii="Arial" w:hAnsi="Arial" w:cs="Arial"/>
          <w:color w:val="000000"/>
        </w:rPr>
        <w:t xml:space="preserve">The documents provided show that the existing timber cladding on timber battens would be replaced with a proposed </w:t>
      </w:r>
      <w:r w:rsidRPr="007E4220">
        <w:rPr>
          <w:rFonts w:ascii="Arial" w:hAnsi="Arial" w:cs="Arial"/>
          <w:color w:val="000000"/>
        </w:rPr>
        <w:t>Cedral Click Fibre Cement weather board cladding system</w:t>
      </w:r>
      <w:r>
        <w:rPr>
          <w:rFonts w:ascii="Arial" w:hAnsi="Arial" w:cs="Arial"/>
          <w:color w:val="000000"/>
        </w:rPr>
        <w:t xml:space="preserve"> on a metal support frame with a chosen colour of Cocoa Brown, </w:t>
      </w:r>
      <w:r w:rsidRPr="007E4220">
        <w:rPr>
          <w:rFonts w:ascii="Arial" w:hAnsi="Arial" w:cs="Arial"/>
          <w:color w:val="000000"/>
        </w:rPr>
        <w:t>wood grain texture finishes</w:t>
      </w:r>
      <w:r>
        <w:rPr>
          <w:rFonts w:ascii="Arial" w:hAnsi="Arial" w:cs="Arial"/>
          <w:color w:val="000000"/>
        </w:rPr>
        <w:t>.</w:t>
      </w:r>
    </w:p>
    <w:p w14:paraId="7F07D4C6" w14:textId="699CCACE" w:rsidR="00132C81" w:rsidRDefault="00132C81" w:rsidP="00286AD9">
      <w:pPr>
        <w:pStyle w:val="NormalWeb"/>
        <w:jc w:val="both"/>
        <w:rPr>
          <w:rFonts w:ascii="Arial" w:hAnsi="Arial" w:cs="Arial"/>
          <w:color w:val="000000"/>
        </w:rPr>
      </w:pPr>
      <w:r>
        <w:rPr>
          <w:rFonts w:ascii="Arial" w:hAnsi="Arial" w:cs="Arial"/>
          <w:color w:val="000000"/>
        </w:rPr>
        <w:t>The existing timber balconies would be replaced with a p</w:t>
      </w:r>
      <w:r w:rsidRPr="007E4220">
        <w:rPr>
          <w:rFonts w:ascii="Arial" w:hAnsi="Arial" w:cs="Arial"/>
          <w:color w:val="000000"/>
        </w:rPr>
        <w:t xml:space="preserve">roposed Ryno </w:t>
      </w:r>
      <w:proofErr w:type="spellStart"/>
      <w:r w:rsidRPr="007E4220">
        <w:rPr>
          <w:rFonts w:ascii="Arial" w:hAnsi="Arial" w:cs="Arial"/>
          <w:color w:val="000000"/>
        </w:rPr>
        <w:t>BalcaSmart</w:t>
      </w:r>
      <w:proofErr w:type="spellEnd"/>
      <w:r w:rsidRPr="007E4220">
        <w:rPr>
          <w:rFonts w:ascii="Arial" w:hAnsi="Arial" w:cs="Arial"/>
          <w:color w:val="000000"/>
        </w:rPr>
        <w:t xml:space="preserve"> Aluminium deck, powder </w:t>
      </w:r>
      <w:r w:rsidR="00BC1409" w:rsidRPr="007E4220">
        <w:rPr>
          <w:rFonts w:ascii="Arial" w:hAnsi="Arial" w:cs="Arial"/>
          <w:color w:val="000000"/>
        </w:rPr>
        <w:t xml:space="preserve">coated </w:t>
      </w:r>
      <w:r w:rsidR="00BC1409">
        <w:rPr>
          <w:rFonts w:ascii="Arial" w:hAnsi="Arial" w:cs="Arial"/>
          <w:color w:val="000000"/>
        </w:rPr>
        <w:t>with</w:t>
      </w:r>
      <w:r w:rsidRPr="007E4220">
        <w:rPr>
          <w:rFonts w:ascii="Arial" w:hAnsi="Arial" w:cs="Arial"/>
          <w:color w:val="000000"/>
        </w:rPr>
        <w:t xml:space="preserve"> a textured coating for high slip resistance</w:t>
      </w:r>
      <w:r>
        <w:rPr>
          <w:rFonts w:ascii="Arial" w:hAnsi="Arial" w:cs="Arial"/>
          <w:color w:val="000000"/>
        </w:rPr>
        <w:t xml:space="preserve">. The chosen colour is Sepia Brown </w:t>
      </w:r>
      <w:r w:rsidR="006639D6">
        <w:rPr>
          <w:rFonts w:ascii="Arial" w:hAnsi="Arial" w:cs="Arial"/>
          <w:color w:val="000000"/>
        </w:rPr>
        <w:t xml:space="preserve">RAL 8014. </w:t>
      </w:r>
    </w:p>
    <w:p w14:paraId="7ABD76C3" w14:textId="77777777" w:rsidR="00BC1409" w:rsidRDefault="00BC1409" w:rsidP="00286AD9">
      <w:pPr>
        <w:pStyle w:val="NormalWeb"/>
        <w:jc w:val="both"/>
        <w:rPr>
          <w:rFonts w:ascii="Arial" w:hAnsi="Arial" w:cs="Arial"/>
          <w:color w:val="000000"/>
        </w:rPr>
      </w:pPr>
      <w:r w:rsidRPr="00BC1409">
        <w:rPr>
          <w:rFonts w:ascii="Arial" w:hAnsi="Arial" w:cs="Arial"/>
          <w:color w:val="000000"/>
        </w:rPr>
        <w:t>The works also include the installation of an injectable fire-stopping solution around the curtain walling. Where brickwork is damaged during the works, the applicant proposes to reinstate it using materials that match the existing brickwork.</w:t>
      </w:r>
      <w:r>
        <w:rPr>
          <w:rFonts w:ascii="Arial" w:hAnsi="Arial" w:cs="Arial"/>
          <w:color w:val="000000"/>
        </w:rPr>
        <w:t xml:space="preserve"> </w:t>
      </w:r>
    </w:p>
    <w:p w14:paraId="6A7AA63D" w14:textId="12239951" w:rsidR="00132C81" w:rsidRDefault="00132C81" w:rsidP="00286AD9">
      <w:pPr>
        <w:pStyle w:val="NormalWeb"/>
        <w:jc w:val="both"/>
        <w:rPr>
          <w:rFonts w:ascii="Arial" w:hAnsi="Arial" w:cs="Arial"/>
          <w:color w:val="000000"/>
        </w:rPr>
      </w:pPr>
      <w:r>
        <w:rPr>
          <w:rFonts w:ascii="Arial" w:hAnsi="Arial" w:cs="Arial"/>
          <w:color w:val="000000"/>
        </w:rPr>
        <w:t>Section 55(1) of the Act states: </w:t>
      </w:r>
    </w:p>
    <w:p w14:paraId="7E486B2A" w14:textId="77777777" w:rsidR="00132C81" w:rsidRDefault="00132C81" w:rsidP="00286AD9">
      <w:pPr>
        <w:pStyle w:val="NormalWeb"/>
        <w:jc w:val="both"/>
        <w:rPr>
          <w:rFonts w:ascii="Arial" w:hAnsi="Arial" w:cs="Arial"/>
          <w:color w:val="000000"/>
        </w:rPr>
      </w:pPr>
      <w:r>
        <w:rPr>
          <w:rFonts w:ascii="Arial" w:hAnsi="Arial" w:cs="Arial"/>
          <w:color w:val="000000"/>
        </w:rPr>
        <w:t>Subject to the following provisions of this section, in this Act, except where the context otherwise requires, “development,” means the carrying out of building, engineering, mining or other operations in, on, over or under land, or the making of any material change in the use of any buildings or other land. </w:t>
      </w:r>
    </w:p>
    <w:p w14:paraId="3B4437DF" w14:textId="77777777" w:rsidR="00132C81" w:rsidRDefault="00132C81" w:rsidP="00286AD9">
      <w:pPr>
        <w:pStyle w:val="NormalWeb"/>
        <w:jc w:val="both"/>
        <w:rPr>
          <w:rFonts w:ascii="Arial" w:hAnsi="Arial" w:cs="Arial"/>
          <w:color w:val="000000"/>
        </w:rPr>
      </w:pPr>
      <w:r>
        <w:rPr>
          <w:rFonts w:ascii="Arial" w:hAnsi="Arial" w:cs="Arial"/>
          <w:color w:val="000000"/>
        </w:rPr>
        <w:t>Section 55(1A) states: </w:t>
      </w:r>
    </w:p>
    <w:p w14:paraId="43204B8A" w14:textId="77777777" w:rsidR="00132C81" w:rsidRDefault="00132C81" w:rsidP="00286AD9">
      <w:pPr>
        <w:pStyle w:val="NormalWeb"/>
        <w:jc w:val="both"/>
        <w:rPr>
          <w:rFonts w:ascii="Arial" w:hAnsi="Arial" w:cs="Arial"/>
          <w:color w:val="000000"/>
        </w:rPr>
      </w:pPr>
      <w:r>
        <w:rPr>
          <w:rFonts w:ascii="Arial" w:hAnsi="Arial" w:cs="Arial"/>
          <w:color w:val="000000"/>
        </w:rPr>
        <w:t xml:space="preserve">For the purposes of this Act </w:t>
      </w:r>
      <w:proofErr w:type="gramStart"/>
      <w:r>
        <w:rPr>
          <w:rFonts w:ascii="Arial" w:hAnsi="Arial" w:cs="Arial"/>
          <w:color w:val="000000"/>
        </w:rPr>
        <w:t>“ building</w:t>
      </w:r>
      <w:proofErr w:type="gramEnd"/>
      <w:r>
        <w:rPr>
          <w:rFonts w:ascii="Arial" w:hAnsi="Arial" w:cs="Arial"/>
          <w:color w:val="000000"/>
        </w:rPr>
        <w:t xml:space="preserve"> </w:t>
      </w:r>
      <w:proofErr w:type="gramStart"/>
      <w:r>
        <w:rPr>
          <w:rFonts w:ascii="Arial" w:hAnsi="Arial" w:cs="Arial"/>
          <w:color w:val="000000"/>
        </w:rPr>
        <w:t>operations ”</w:t>
      </w:r>
      <w:proofErr w:type="gramEnd"/>
      <w:r>
        <w:rPr>
          <w:rFonts w:ascii="Arial" w:hAnsi="Arial" w:cs="Arial"/>
          <w:color w:val="000000"/>
        </w:rPr>
        <w:t xml:space="preserve"> includes—</w:t>
      </w:r>
    </w:p>
    <w:p w14:paraId="48FECBB1" w14:textId="77777777" w:rsidR="00132C81" w:rsidRDefault="00132C81" w:rsidP="00286AD9">
      <w:pPr>
        <w:pStyle w:val="NormalWeb"/>
        <w:jc w:val="both"/>
        <w:rPr>
          <w:rFonts w:ascii="Arial" w:hAnsi="Arial" w:cs="Arial"/>
          <w:color w:val="000000"/>
        </w:rPr>
      </w:pPr>
      <w:r>
        <w:rPr>
          <w:rFonts w:ascii="Arial" w:hAnsi="Arial" w:cs="Arial"/>
          <w:color w:val="000000"/>
        </w:rPr>
        <w:t>(a) demolition of buildings;</w:t>
      </w:r>
    </w:p>
    <w:p w14:paraId="71D927FB" w14:textId="77777777" w:rsidR="00132C81" w:rsidRDefault="00132C81" w:rsidP="00286AD9">
      <w:pPr>
        <w:pStyle w:val="NormalWeb"/>
        <w:jc w:val="both"/>
        <w:rPr>
          <w:rFonts w:ascii="Arial" w:hAnsi="Arial" w:cs="Arial"/>
          <w:color w:val="000000"/>
        </w:rPr>
      </w:pPr>
      <w:r>
        <w:rPr>
          <w:rFonts w:ascii="Arial" w:hAnsi="Arial" w:cs="Arial"/>
          <w:color w:val="000000"/>
        </w:rPr>
        <w:t>(b) rebuilding;</w:t>
      </w:r>
    </w:p>
    <w:p w14:paraId="32DFAA7E" w14:textId="77777777" w:rsidR="00132C81" w:rsidRDefault="00132C81" w:rsidP="00286AD9">
      <w:pPr>
        <w:pStyle w:val="NormalWeb"/>
        <w:jc w:val="both"/>
        <w:rPr>
          <w:rFonts w:ascii="Arial" w:hAnsi="Arial" w:cs="Arial"/>
          <w:color w:val="000000"/>
        </w:rPr>
      </w:pPr>
      <w:r>
        <w:rPr>
          <w:rFonts w:ascii="Arial" w:hAnsi="Arial" w:cs="Arial"/>
          <w:color w:val="000000"/>
        </w:rPr>
        <w:t>(c) structural alterations of or additions to buildings; and</w:t>
      </w:r>
    </w:p>
    <w:p w14:paraId="499C633D" w14:textId="77777777" w:rsidR="00132C81" w:rsidRDefault="00132C81" w:rsidP="00286AD9">
      <w:pPr>
        <w:pStyle w:val="NormalWeb"/>
        <w:jc w:val="both"/>
        <w:rPr>
          <w:rFonts w:ascii="Arial" w:hAnsi="Arial" w:cs="Arial"/>
          <w:color w:val="000000"/>
        </w:rPr>
      </w:pPr>
      <w:r>
        <w:rPr>
          <w:rFonts w:ascii="Arial" w:hAnsi="Arial" w:cs="Arial"/>
          <w:color w:val="000000"/>
        </w:rPr>
        <w:t>(d) other operations normally undertaken by a person carrying on business as a builder.</w:t>
      </w:r>
    </w:p>
    <w:p w14:paraId="0F97EF3C" w14:textId="77777777" w:rsidR="00132C81" w:rsidRDefault="00132C81" w:rsidP="00286AD9">
      <w:pPr>
        <w:pStyle w:val="NormalWeb"/>
        <w:jc w:val="both"/>
        <w:rPr>
          <w:rFonts w:ascii="Arial" w:hAnsi="Arial" w:cs="Arial"/>
          <w:color w:val="000000"/>
        </w:rPr>
      </w:pPr>
      <w:r>
        <w:rPr>
          <w:rFonts w:ascii="Arial" w:hAnsi="Arial" w:cs="Arial"/>
          <w:color w:val="000000"/>
        </w:rPr>
        <w:t>Section 55(2)(a) states:</w:t>
      </w:r>
    </w:p>
    <w:p w14:paraId="52C17CA1" w14:textId="77777777" w:rsidR="00132C81" w:rsidRDefault="00132C81" w:rsidP="00286AD9">
      <w:pPr>
        <w:pStyle w:val="NormalWeb"/>
        <w:jc w:val="both"/>
        <w:rPr>
          <w:rFonts w:ascii="Arial" w:hAnsi="Arial" w:cs="Arial"/>
          <w:color w:val="000000"/>
        </w:rPr>
      </w:pPr>
      <w:r>
        <w:rPr>
          <w:rFonts w:ascii="Arial" w:hAnsi="Arial" w:cs="Arial"/>
          <w:color w:val="000000"/>
        </w:rPr>
        <w:t>The following operations or uses of land shall not be taken for the purposes of this Act to involve development of the land— (a) the carrying out for the maintenance, improvement or other alteration of any building of works which—</w:t>
      </w:r>
    </w:p>
    <w:p w14:paraId="63D7104A" w14:textId="77777777" w:rsidR="00132C81" w:rsidRDefault="00132C81" w:rsidP="00286AD9">
      <w:pPr>
        <w:pStyle w:val="NormalWeb"/>
        <w:jc w:val="both"/>
        <w:rPr>
          <w:rFonts w:ascii="Arial" w:hAnsi="Arial" w:cs="Arial"/>
          <w:color w:val="000000"/>
        </w:rPr>
      </w:pPr>
      <w:r>
        <w:rPr>
          <w:rFonts w:ascii="Arial" w:hAnsi="Arial" w:cs="Arial"/>
          <w:color w:val="000000"/>
        </w:rPr>
        <w:t>(</w:t>
      </w:r>
      <w:proofErr w:type="spellStart"/>
      <w:r>
        <w:rPr>
          <w:rFonts w:ascii="Arial" w:hAnsi="Arial" w:cs="Arial"/>
          <w:color w:val="000000"/>
        </w:rPr>
        <w:t>i</w:t>
      </w:r>
      <w:proofErr w:type="spellEnd"/>
      <w:r>
        <w:rPr>
          <w:rFonts w:ascii="Arial" w:hAnsi="Arial" w:cs="Arial"/>
          <w:color w:val="000000"/>
        </w:rPr>
        <w:t>) affect only the interior of the building, or</w:t>
      </w:r>
    </w:p>
    <w:p w14:paraId="4C98E4FD" w14:textId="77777777" w:rsidR="00132C81" w:rsidRDefault="00132C81" w:rsidP="00286AD9">
      <w:pPr>
        <w:pStyle w:val="NormalWeb"/>
        <w:jc w:val="both"/>
        <w:rPr>
          <w:rFonts w:ascii="Arial" w:hAnsi="Arial" w:cs="Arial"/>
          <w:color w:val="000000"/>
        </w:rPr>
      </w:pPr>
      <w:r>
        <w:rPr>
          <w:rFonts w:ascii="Arial" w:hAnsi="Arial" w:cs="Arial"/>
          <w:color w:val="000000"/>
        </w:rPr>
        <w:t>(ii) do not materially affect the external appearance of the building, and are not works for making good war damage or works begun after 5th December 1968 for the alteration of a building by providing additional space in it underground;</w:t>
      </w:r>
    </w:p>
    <w:p w14:paraId="20958C4A" w14:textId="77777777" w:rsidR="00132C81" w:rsidRDefault="00132C81" w:rsidP="00286AD9">
      <w:pPr>
        <w:pStyle w:val="NormalWeb"/>
        <w:jc w:val="both"/>
        <w:rPr>
          <w:rFonts w:ascii="Arial" w:hAnsi="Arial" w:cs="Arial"/>
          <w:color w:val="000000"/>
        </w:rPr>
      </w:pPr>
      <w:r>
        <w:rPr>
          <w:rFonts w:ascii="Arial" w:hAnsi="Arial" w:cs="Arial"/>
          <w:color w:val="000000"/>
        </w:rPr>
        <w:lastRenderedPageBreak/>
        <w:t xml:space="preserve">In this case, the proposed works would </w:t>
      </w:r>
      <w:proofErr w:type="gramStart"/>
      <w:r>
        <w:rPr>
          <w:rFonts w:ascii="Arial" w:hAnsi="Arial" w:cs="Arial"/>
          <w:color w:val="000000"/>
        </w:rPr>
        <w:t>be considered to be</w:t>
      </w:r>
      <w:proofErr w:type="gramEnd"/>
      <w:r>
        <w:rPr>
          <w:rFonts w:ascii="Arial" w:hAnsi="Arial" w:cs="Arial"/>
          <w:color w:val="000000"/>
        </w:rPr>
        <w:t xml:space="preserve"> operations normally undertaken by a person carrying on business as a builder, and whilst the images provided appear to be from a 3D image and do not show the existing timber cladding nor the balconies to allow a direct comparison. </w:t>
      </w:r>
    </w:p>
    <w:p w14:paraId="2433A636" w14:textId="77777777" w:rsidR="00132C81" w:rsidRDefault="00132C81" w:rsidP="00286AD9">
      <w:pPr>
        <w:pStyle w:val="NormalWeb"/>
        <w:jc w:val="both"/>
        <w:rPr>
          <w:rFonts w:ascii="Arial" w:hAnsi="Arial" w:cs="Arial"/>
          <w:color w:val="000000"/>
        </w:rPr>
      </w:pPr>
      <w:r>
        <w:rPr>
          <w:rFonts w:ascii="Arial" w:hAnsi="Arial" w:cs="Arial"/>
          <w:color w:val="000000"/>
        </w:rPr>
        <w:t xml:space="preserve">However, based on a visit to the site and the images provided it is considered that the proposed materials would differ in appearance to the existing timber. The proposed Ryno </w:t>
      </w:r>
      <w:proofErr w:type="spellStart"/>
      <w:r>
        <w:rPr>
          <w:rFonts w:ascii="Arial" w:hAnsi="Arial" w:cs="Arial"/>
          <w:color w:val="000000"/>
        </w:rPr>
        <w:t>BalcaSmart</w:t>
      </w:r>
      <w:proofErr w:type="spellEnd"/>
      <w:r>
        <w:rPr>
          <w:rFonts w:ascii="Arial" w:hAnsi="Arial" w:cs="Arial"/>
          <w:color w:val="000000"/>
        </w:rPr>
        <w:t xml:space="preserve"> Aluminium Deck appears to be darker and smoother in appearance compared to the existing timber balconies and the chosen </w:t>
      </w:r>
      <w:r w:rsidRPr="00073973">
        <w:rPr>
          <w:rFonts w:ascii="Arial" w:hAnsi="Arial" w:cs="Arial"/>
          <w:color w:val="000000"/>
        </w:rPr>
        <w:t>Cedral click fibre cement weatherboard cladding</w:t>
      </w:r>
      <w:r>
        <w:rPr>
          <w:rFonts w:ascii="Arial" w:hAnsi="Arial" w:cs="Arial"/>
          <w:color w:val="000000"/>
        </w:rPr>
        <w:t xml:space="preserve"> would have a brighter colour than the existing timber, that would not weather in the same manner. </w:t>
      </w:r>
    </w:p>
    <w:p w14:paraId="2D780886" w14:textId="77777777" w:rsidR="006639D6" w:rsidRDefault="006639D6" w:rsidP="00286AD9">
      <w:pPr>
        <w:pStyle w:val="NormalWeb"/>
        <w:jc w:val="both"/>
        <w:rPr>
          <w:rFonts w:ascii="Arial" w:hAnsi="Arial" w:cs="Arial"/>
          <w:color w:val="000000"/>
        </w:rPr>
      </w:pPr>
      <w:r w:rsidRPr="006639D6">
        <w:rPr>
          <w:rFonts w:ascii="Arial" w:hAnsi="Arial" w:cs="Arial"/>
          <w:color w:val="000000"/>
        </w:rPr>
        <w:t>Whilst there are no concerns regarding the replacement brickwork being used to match the existing brickwork where damage occurs during the installation of the injectable fire-stopping solution around the curtain walling, no details have been provided regarding the existing or proposed bricks to enable an assessment of whether there would be any material difference in appearance. Furthermore, no details of the proposed vent fittings have been submitted to demonstrate that they would be sympathetic to, and visually consistent with, the existing building.</w:t>
      </w:r>
    </w:p>
    <w:p w14:paraId="6C7C295A" w14:textId="17A5D2A8" w:rsidR="00132C81" w:rsidRDefault="00132C81" w:rsidP="00286AD9">
      <w:pPr>
        <w:pStyle w:val="NormalWeb"/>
        <w:jc w:val="both"/>
        <w:rPr>
          <w:rFonts w:ascii="Arial" w:hAnsi="Arial" w:cs="Arial"/>
          <w:color w:val="000000"/>
        </w:rPr>
      </w:pPr>
      <w:proofErr w:type="spellStart"/>
      <w:proofErr w:type="gramStart"/>
      <w:r>
        <w:rPr>
          <w:rFonts w:ascii="Arial" w:hAnsi="Arial" w:cs="Arial"/>
          <w:color w:val="000000"/>
        </w:rPr>
        <w:t>Therefore,the</w:t>
      </w:r>
      <w:proofErr w:type="spellEnd"/>
      <w:proofErr w:type="gramEnd"/>
      <w:r>
        <w:rPr>
          <w:rFonts w:ascii="Arial" w:hAnsi="Arial" w:cs="Arial"/>
          <w:color w:val="000000"/>
        </w:rPr>
        <w:t xml:space="preserve"> applicant has failed to demonstrate on the balance of probabilities that the proposed works do not materially affect the external appearance of the building and would in the opinion of the local planning authority, result in a substantial change to the appearance of the building and therefore amount to development within the meaning of Section 55 of the 1990 Act; planning permission would therefore be required.</w:t>
      </w:r>
    </w:p>
    <w:p w14:paraId="66C55943" w14:textId="77777777" w:rsidR="00EF3E10" w:rsidRDefault="00EF3E10" w:rsidP="00286AD9">
      <w:pPr>
        <w:jc w:val="both"/>
      </w:pPr>
    </w:p>
    <w:p w14:paraId="3BFE5DD2" w14:textId="77777777" w:rsidR="006F7F26" w:rsidRPr="006F7F26" w:rsidRDefault="006F7F26" w:rsidP="00286AD9">
      <w:pPr>
        <w:pStyle w:val="Heading1"/>
        <w:jc w:val="both"/>
        <w:rPr>
          <w:rFonts w:eastAsia="Times New Roman"/>
        </w:rPr>
      </w:pPr>
      <w:r w:rsidRPr="006F7F26">
        <w:rPr>
          <w:rFonts w:eastAsia="Times New Roman"/>
        </w:rPr>
        <w:t>Other Legislative Requirements</w:t>
      </w:r>
    </w:p>
    <w:p w14:paraId="28620C25" w14:textId="77777777" w:rsidR="006F7F26" w:rsidRPr="006F7F26" w:rsidRDefault="006F7F26" w:rsidP="00286AD9">
      <w:pPr>
        <w:pStyle w:val="Heading2"/>
        <w:jc w:val="both"/>
        <w:rPr>
          <w:rFonts w:eastAsia="Times New Roman"/>
        </w:rPr>
      </w:pPr>
      <w:r w:rsidRPr="006F7F26">
        <w:rPr>
          <w:rFonts w:eastAsia="Times New Roman"/>
        </w:rPr>
        <w:t>Equality Act 2010</w:t>
      </w:r>
    </w:p>
    <w:p w14:paraId="5478AC86" w14:textId="77777777" w:rsidR="006F7F26" w:rsidRPr="006F7F26" w:rsidRDefault="006F7F26" w:rsidP="00286AD9">
      <w:pPr>
        <w:jc w:val="both"/>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47F7CA7" w14:textId="77777777" w:rsidR="006F7F26" w:rsidRPr="006F7F26" w:rsidRDefault="006F7F26" w:rsidP="00286AD9">
      <w:pPr>
        <w:jc w:val="both"/>
        <w:rPr>
          <w:rFonts w:eastAsia="Times New Roman" w:cs="Times New Roman"/>
          <w:kern w:val="0"/>
          <w:szCs w:val="22"/>
          <w14:ligatures w14:val="none"/>
        </w:rPr>
      </w:pPr>
    </w:p>
    <w:p w14:paraId="19DDE2B2" w14:textId="77777777" w:rsidR="006F7F26" w:rsidRPr="006F7F26" w:rsidRDefault="006F7F26" w:rsidP="00286AD9">
      <w:pPr>
        <w:pStyle w:val="Heading2"/>
        <w:jc w:val="both"/>
        <w:rPr>
          <w:rFonts w:eastAsia="Times New Roman"/>
        </w:rPr>
      </w:pPr>
      <w:r w:rsidRPr="006F7F26">
        <w:rPr>
          <w:rFonts w:eastAsia="Times New Roman"/>
        </w:rPr>
        <w:t>Human Rights Act 1998 considerations</w:t>
      </w:r>
    </w:p>
    <w:p w14:paraId="704E79D6" w14:textId="77777777" w:rsidR="006F7F26" w:rsidRPr="006F7F26" w:rsidRDefault="006F7F26" w:rsidP="00286AD9">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0DA50945" w14:textId="77777777" w:rsidR="006F7F26" w:rsidRPr="006F7F26" w:rsidRDefault="006F7F26" w:rsidP="00286AD9">
      <w:pPr>
        <w:jc w:val="both"/>
        <w:rPr>
          <w:rFonts w:eastAsia="Times New Roman" w:cs="Arial"/>
          <w:kern w:val="0"/>
          <w14:ligatures w14:val="none"/>
        </w:rPr>
      </w:pPr>
    </w:p>
    <w:p w14:paraId="0F615FBB" w14:textId="77777777" w:rsidR="006F7F26" w:rsidRDefault="006F7F26" w:rsidP="00286AD9">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5A23D3C" w14:textId="77777777" w:rsidR="00D66B55" w:rsidRDefault="00D66B55" w:rsidP="00286AD9">
      <w:pPr>
        <w:pStyle w:val="Heading1"/>
        <w:jc w:val="both"/>
      </w:pPr>
      <w:r>
        <w:lastRenderedPageBreak/>
        <w:t>Conclusion</w:t>
      </w:r>
    </w:p>
    <w:p w14:paraId="0AA59E20" w14:textId="77777777" w:rsidR="00286AD9" w:rsidRDefault="00286AD9" w:rsidP="00286AD9">
      <w:pPr>
        <w:jc w:val="both"/>
        <w:rPr>
          <w:rFonts w:ascii="Times New Roman" w:eastAsia="Times New Roman" w:hAnsi="Times New Roman"/>
        </w:rPr>
      </w:pPr>
    </w:p>
    <w:p w14:paraId="0EAFF211" w14:textId="77777777" w:rsidR="00286AD9" w:rsidRDefault="00286AD9" w:rsidP="00286AD9">
      <w:pPr>
        <w:pStyle w:val="NormalWeb"/>
        <w:jc w:val="both"/>
        <w:rPr>
          <w:rFonts w:ascii="Arial" w:hAnsi="Arial" w:cs="Arial"/>
          <w:color w:val="000000"/>
        </w:rPr>
      </w:pPr>
      <w:r>
        <w:rPr>
          <w:rFonts w:ascii="Arial" w:hAnsi="Arial" w:cs="Arial"/>
          <w:color w:val="000000"/>
        </w:rPr>
        <w:t>The certificate should be refused based on the outcome of this assessment.</w:t>
      </w:r>
    </w:p>
    <w:p w14:paraId="052D0D1E" w14:textId="77777777" w:rsidR="00EF3E10" w:rsidRDefault="00EF3E10" w:rsidP="00286AD9">
      <w:pPr>
        <w:jc w:val="both"/>
      </w:pPr>
    </w:p>
    <w:p w14:paraId="2C5CE3E2" w14:textId="7A7C7ABC" w:rsidR="00C62A32" w:rsidRDefault="005C02B9" w:rsidP="00286AD9">
      <w:pPr>
        <w:spacing w:after="120"/>
        <w:jc w:val="both"/>
      </w:pPr>
      <w:r w:rsidRPr="005C02B9">
        <w:rPr>
          <w:rStyle w:val="Heading2Char"/>
        </w:rPr>
        <w:t>Recommendation</w:t>
      </w:r>
      <w:r>
        <w:t xml:space="preserve">: </w:t>
      </w:r>
      <w:r w:rsidR="00286AD9">
        <w:rPr>
          <w:b/>
          <w:bCs/>
        </w:rPr>
        <w:t>Refuse</w:t>
      </w:r>
    </w:p>
    <w:p w14:paraId="029F207C" w14:textId="77777777" w:rsidR="00BA1D7F" w:rsidRDefault="00BA1D7F" w:rsidP="00A331F9"/>
    <w:p w14:paraId="764E0644" w14:textId="77777777" w:rsidR="00132C81" w:rsidRDefault="00132C81" w:rsidP="00132C81"/>
    <w:tbl>
      <w:tblPr>
        <w:tblStyle w:val="TableGrid"/>
        <w:tblW w:w="9781" w:type="dxa"/>
        <w:tblLayout w:type="fixed"/>
        <w:tblLook w:val="04A0" w:firstRow="1" w:lastRow="0" w:firstColumn="1" w:lastColumn="0" w:noHBand="0" w:noVBand="1"/>
      </w:tblPr>
      <w:tblGrid>
        <w:gridCol w:w="9781"/>
      </w:tblGrid>
      <w:tr w:rsidR="00132C81" w14:paraId="34E9E60C" w14:textId="77777777" w:rsidTr="002E4ECA">
        <w:tc>
          <w:tcPr>
            <w:tcW w:w="9781" w:type="dxa"/>
            <w:tcBorders>
              <w:top w:val="nil"/>
              <w:left w:val="nil"/>
              <w:bottom w:val="nil"/>
              <w:right w:val="nil"/>
            </w:tcBorders>
            <w:tcMar>
              <w:left w:w="28" w:type="dxa"/>
              <w:right w:w="28" w:type="dxa"/>
            </w:tcMar>
          </w:tcPr>
          <w:p w14:paraId="2A53649A" w14:textId="77777777" w:rsidR="00132C81" w:rsidRPr="00A44EAA" w:rsidRDefault="00132C81" w:rsidP="002E4ECA">
            <w:pPr>
              <w:pStyle w:val="Heading2"/>
            </w:pPr>
            <w:r w:rsidRPr="00A44EAA">
              <w:t xml:space="preserve">Reasons for </w:t>
            </w:r>
            <w:r>
              <w:t xml:space="preserve">refusal </w:t>
            </w:r>
          </w:p>
          <w:tbl>
            <w:tblPr>
              <w:tblStyle w:val="TableGrid"/>
              <w:tblW w:w="0" w:type="auto"/>
              <w:tblLook w:val="04A0" w:firstRow="1" w:lastRow="0" w:firstColumn="1" w:lastColumn="0" w:noHBand="0" w:noVBand="1"/>
            </w:tblPr>
            <w:tblGrid>
              <w:gridCol w:w="532"/>
              <w:gridCol w:w="9183"/>
            </w:tblGrid>
            <w:tr w:rsidR="00132C81" w14:paraId="4E198F6F" w14:textId="77777777" w:rsidTr="002E4ECA">
              <w:trPr>
                <w:trHeight w:val="1143"/>
              </w:trPr>
              <w:tc>
                <w:tcPr>
                  <w:tcW w:w="532" w:type="dxa"/>
                  <w:tcBorders>
                    <w:top w:val="nil"/>
                    <w:left w:val="nil"/>
                    <w:bottom w:val="nil"/>
                    <w:right w:val="nil"/>
                  </w:tcBorders>
                </w:tcPr>
                <w:p w14:paraId="5C473233" w14:textId="77777777" w:rsidR="00132C81" w:rsidRPr="00A44EAA" w:rsidRDefault="00132C81" w:rsidP="002E4ECA">
                  <w:r w:rsidRPr="00A44EAA">
                    <w:t>1</w:t>
                  </w:r>
                </w:p>
              </w:tc>
              <w:tc>
                <w:tcPr>
                  <w:tcW w:w="9183" w:type="dxa"/>
                  <w:tcBorders>
                    <w:top w:val="nil"/>
                    <w:left w:val="nil"/>
                    <w:bottom w:val="nil"/>
                    <w:right w:val="nil"/>
                  </w:tcBorders>
                </w:tcPr>
                <w:p w14:paraId="325DA898" w14:textId="3A0A5465" w:rsidR="00132C81" w:rsidRPr="00A44EAA" w:rsidRDefault="00132C81" w:rsidP="002E4ECA">
                  <w:pPr>
                    <w:jc w:val="both"/>
                    <w:rPr>
                      <w:lang w:val="x-none"/>
                    </w:rPr>
                  </w:pPr>
                  <w:r w:rsidRPr="00A44EAA">
                    <w:rPr>
                      <w:lang w:val="x-none"/>
                    </w:rPr>
                    <w:t xml:space="preserve">The resulting, substantial change to the appearance of the </w:t>
                  </w:r>
                  <w:r w:rsidR="00286AD9" w:rsidRPr="00F01B50">
                    <w:rPr>
                      <w:rFonts w:cs="Arial"/>
                    </w:rPr>
                    <w:t>balcony surfaces and dividers, and upgrades to the fire barriers within the façade wall</w:t>
                  </w:r>
                  <w:r w:rsidR="00286AD9">
                    <w:rPr>
                      <w:rFonts w:cs="Arial"/>
                    </w:rPr>
                    <w:t xml:space="preserve"> </w:t>
                  </w:r>
                  <w:r w:rsidRPr="00A44EAA">
                    <w:rPr>
                      <w:lang w:val="x-none"/>
                    </w:rPr>
                    <w:t xml:space="preserve">would be sufficient in itself to </w:t>
                  </w:r>
                  <w:r w:rsidRPr="009B68DE">
                    <w:rPr>
                      <w:iCs/>
                      <w:lang w:val="x-none"/>
                    </w:rPr>
                    <w:t>materially affect the external appearance of the building</w:t>
                  </w:r>
                  <w:r w:rsidRPr="00A44EAA">
                    <w:rPr>
                      <w:i/>
                      <w:lang w:val="x-none"/>
                    </w:rPr>
                    <w:t xml:space="preserve">. </w:t>
                  </w:r>
                  <w:r w:rsidRPr="00A44EAA">
                    <w:rPr>
                      <w:lang w:val="x-none"/>
                    </w:rPr>
                    <w:t>The proposed alterations would therefore constitute development within the meaning of Section 55 of the 1990 Act</w:t>
                  </w:r>
                  <w:r>
                    <w:rPr>
                      <w:lang w:val="x-none"/>
                    </w:rPr>
                    <w:t>; planning permission would therefore be required.</w:t>
                  </w:r>
                </w:p>
              </w:tc>
            </w:tr>
          </w:tbl>
          <w:p w14:paraId="45A0625A" w14:textId="77777777" w:rsidR="00132C81" w:rsidRPr="00A40D82" w:rsidRDefault="00132C81" w:rsidP="002E4ECA"/>
        </w:tc>
      </w:tr>
    </w:tbl>
    <w:p w14:paraId="40100E2D"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2A52E65"/>
    <w:multiLevelType w:val="hybridMultilevel"/>
    <w:tmpl w:val="0686B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5"/>
  </w:num>
  <w:num w:numId="6" w16cid:durableId="17329236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32C81"/>
    <w:rsid w:val="00203052"/>
    <w:rsid w:val="002202D8"/>
    <w:rsid w:val="00264A72"/>
    <w:rsid w:val="00271DE1"/>
    <w:rsid w:val="00274422"/>
    <w:rsid w:val="00286AD9"/>
    <w:rsid w:val="002A509A"/>
    <w:rsid w:val="0031160E"/>
    <w:rsid w:val="0032349F"/>
    <w:rsid w:val="003E4005"/>
    <w:rsid w:val="00467C0E"/>
    <w:rsid w:val="005C02B9"/>
    <w:rsid w:val="0060008F"/>
    <w:rsid w:val="006175C6"/>
    <w:rsid w:val="00654330"/>
    <w:rsid w:val="006639D6"/>
    <w:rsid w:val="006954E2"/>
    <w:rsid w:val="006B1081"/>
    <w:rsid w:val="006B3B30"/>
    <w:rsid w:val="006E0A90"/>
    <w:rsid w:val="006F7F26"/>
    <w:rsid w:val="0070357C"/>
    <w:rsid w:val="007524AB"/>
    <w:rsid w:val="007901E8"/>
    <w:rsid w:val="008057CA"/>
    <w:rsid w:val="00871882"/>
    <w:rsid w:val="00982188"/>
    <w:rsid w:val="00A04F27"/>
    <w:rsid w:val="00A331F9"/>
    <w:rsid w:val="00A40D82"/>
    <w:rsid w:val="00A82292"/>
    <w:rsid w:val="00AD3AB2"/>
    <w:rsid w:val="00AD61E8"/>
    <w:rsid w:val="00B17001"/>
    <w:rsid w:val="00B75EB9"/>
    <w:rsid w:val="00BA1D7F"/>
    <w:rsid w:val="00BC1409"/>
    <w:rsid w:val="00BD216A"/>
    <w:rsid w:val="00BE7747"/>
    <w:rsid w:val="00C573B6"/>
    <w:rsid w:val="00C62A32"/>
    <w:rsid w:val="00CF74CA"/>
    <w:rsid w:val="00D3474F"/>
    <w:rsid w:val="00D66B55"/>
    <w:rsid w:val="00D73A5C"/>
    <w:rsid w:val="00E0137E"/>
    <w:rsid w:val="00E1769F"/>
    <w:rsid w:val="00E34D56"/>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C930A"/>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32C81"/>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sid w:val="00132C81"/>
    <w:rPr>
      <w:b/>
      <w:bCs/>
    </w:rPr>
  </w:style>
  <w:style w:type="paragraph" w:customStyle="1" w:styleId="ql-indent-1">
    <w:name w:val="ql-indent-1"/>
    <w:basedOn w:val="Normal"/>
    <w:rsid w:val="00132C81"/>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Emphasis">
    <w:name w:val="Emphasis"/>
    <w:basedOn w:val="DefaultParagraphFont"/>
    <w:uiPriority w:val="20"/>
    <w:qFormat/>
    <w:rsid w:val="00132C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50CA85-CE5C-49F1-A23D-0B324C99EE56}">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241</TotalTime>
  <Pages>5</Pages>
  <Words>1717</Words>
  <Characters>10012</Characters>
  <Application>Microsoft Office Word</Application>
  <DocSecurity>4</DocSecurity>
  <Lines>333</Lines>
  <Paragraphs>209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salesforceId:2b10792a-c321-4a70-89db-ea3f03977e51</dc:subject>
  <dc:creator>Anthony Moore</dc:creator>
  <cp:keywords/>
  <dc:description/>
  <cp:lastModifiedBy>Anthony Moore</cp:lastModifiedBy>
  <cp:revision>2</cp:revision>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069Sl00000bQ1KwIAK</vt:lpwstr>
  </property>
</Properties>
</file>