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6391" w14:textId="77777777" w:rsidR="00BE7747" w:rsidRDefault="00D3474F" w:rsidP="00D3474F">
      <w:pPr>
        <w:jc w:val="right"/>
      </w:pPr>
      <w:r>
        <w:rPr>
          <w:noProof/>
        </w:rPr>
        <w:drawing>
          <wp:inline distT="0" distB="0" distL="0" distR="0" wp14:anchorId="7179A021" wp14:editId="6200F4A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7" cstate="print"/>
                    <a:stretch>
                      <a:fillRect/>
                    </a:stretch>
                  </pic:blipFill>
                  <pic:spPr>
                    <a:xfrm>
                      <a:off x="0" y="0"/>
                      <a:ext cx="2133600" cy="411480"/>
                    </a:xfrm>
                    <a:prstGeom prst="rect">
                      <a:avLst/>
                    </a:prstGeom>
                  </pic:spPr>
                </pic:pic>
              </a:graphicData>
            </a:graphic>
          </wp:inline>
        </w:drawing>
      </w:r>
    </w:p>
    <w:p w14:paraId="56CE770F" w14:textId="77777777" w:rsidR="00D3474F" w:rsidRDefault="00D3474F" w:rsidP="00D3474F">
      <w:pPr>
        <w:pStyle w:val="Title"/>
      </w:pPr>
      <w:r>
        <w:t>Planning</w:t>
      </w:r>
    </w:p>
    <w:p w14:paraId="49BA5BEE" w14:textId="77777777" w:rsidR="00D3474F" w:rsidRDefault="00D3474F" w:rsidP="00D3474F">
      <w:pPr>
        <w:pStyle w:val="Title"/>
      </w:pPr>
      <w:r>
        <w:t>Delegated Officer Report</w:t>
      </w:r>
    </w:p>
    <w:p w14:paraId="0D659F5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BB2B4C1" w14:textId="77777777" w:rsidTr="003E4005">
        <w:tc>
          <w:tcPr>
            <w:tcW w:w="2830" w:type="dxa"/>
          </w:tcPr>
          <w:p w14:paraId="0E9F8DD4" w14:textId="77777777" w:rsidR="00D3474F" w:rsidRDefault="00D3474F" w:rsidP="00D3474F">
            <w:pPr>
              <w:pStyle w:val="Heading2"/>
            </w:pPr>
            <w:r>
              <w:t>Application reference:</w:t>
            </w:r>
          </w:p>
        </w:tc>
        <w:tc>
          <w:tcPr>
            <w:tcW w:w="7364" w:type="dxa"/>
          </w:tcPr>
          <w:p w14:paraId="1A10A5BB" w14:textId="77777777" w:rsidR="00D3474F" w:rsidRDefault="00D3474F" w:rsidP="00D3474F">
            <w:r>
              <w:t>PLA-2026-001010</w:t>
            </w:r>
          </w:p>
        </w:tc>
      </w:tr>
      <w:tr w:rsidR="00D3474F" w14:paraId="4D7AD3A2" w14:textId="77777777" w:rsidTr="003E4005">
        <w:tc>
          <w:tcPr>
            <w:tcW w:w="2830" w:type="dxa"/>
          </w:tcPr>
          <w:p w14:paraId="61CCFDF8" w14:textId="77777777" w:rsidR="00D3474F" w:rsidRDefault="00D3474F" w:rsidP="00D3474F">
            <w:pPr>
              <w:pStyle w:val="Heading2"/>
            </w:pPr>
            <w:r>
              <w:t>Application type:</w:t>
            </w:r>
          </w:p>
        </w:tc>
        <w:tc>
          <w:tcPr>
            <w:tcW w:w="7364" w:type="dxa"/>
          </w:tcPr>
          <w:p w14:paraId="1037F33B" w14:textId="77777777" w:rsidR="00D3474F" w:rsidRDefault="003E4005" w:rsidP="00D3474F">
            <w:r>
              <w:t>Consent to display an advertisement</w:t>
            </w:r>
          </w:p>
        </w:tc>
      </w:tr>
      <w:tr w:rsidR="00D3474F" w14:paraId="087791D1" w14:textId="77777777" w:rsidTr="003E4005">
        <w:tc>
          <w:tcPr>
            <w:tcW w:w="2830" w:type="dxa"/>
          </w:tcPr>
          <w:p w14:paraId="7C15C657" w14:textId="77777777" w:rsidR="00D3474F" w:rsidRDefault="00D3474F" w:rsidP="00D3474F">
            <w:pPr>
              <w:pStyle w:val="Heading2"/>
            </w:pPr>
            <w:r>
              <w:t>Proposal:</w:t>
            </w:r>
          </w:p>
        </w:tc>
        <w:tc>
          <w:tcPr>
            <w:tcW w:w="7364" w:type="dxa"/>
          </w:tcPr>
          <w:p w14:paraId="6A66E54C" w14:textId="77777777" w:rsidR="00D3474F" w:rsidRDefault="00D3474F" w:rsidP="00D3474F">
            <w:r w:rsidRPr="00F01B50">
              <w:rPr>
                <w:rFonts w:cs="Arial"/>
              </w:rPr>
              <w:t>Erection of double-sided internally illuminated freestanding digital advertisement totem.</w:t>
            </w:r>
          </w:p>
        </w:tc>
      </w:tr>
      <w:tr w:rsidR="00D3474F" w14:paraId="50491BA0" w14:textId="77777777" w:rsidTr="003E4005">
        <w:tc>
          <w:tcPr>
            <w:tcW w:w="2830" w:type="dxa"/>
          </w:tcPr>
          <w:p w14:paraId="6E21C668" w14:textId="77777777" w:rsidR="00D3474F" w:rsidRDefault="00D3474F" w:rsidP="00D3474F">
            <w:pPr>
              <w:pStyle w:val="Heading2"/>
            </w:pPr>
            <w:r>
              <w:t>Site address:</w:t>
            </w:r>
          </w:p>
        </w:tc>
        <w:tc>
          <w:tcPr>
            <w:tcW w:w="7364" w:type="dxa"/>
          </w:tcPr>
          <w:p w14:paraId="20C56890" w14:textId="77777777" w:rsidR="00D3474F" w:rsidRDefault="00F96A58" w:rsidP="00D3474F">
            <w:r w:rsidRPr="00F96A58">
              <w:rPr>
                <w:rFonts w:cs="Arial"/>
              </w:rPr>
              <w:t>Site 4 - Corner of Oxford Road and Newman Street Circle Square Oxford Road Manchester M1 7ED</w:t>
            </w:r>
          </w:p>
        </w:tc>
      </w:tr>
      <w:tr w:rsidR="00D3474F" w14:paraId="0087DA96" w14:textId="77777777" w:rsidTr="003E4005">
        <w:tc>
          <w:tcPr>
            <w:tcW w:w="2830" w:type="dxa"/>
          </w:tcPr>
          <w:p w14:paraId="1FB5B5A0" w14:textId="77777777" w:rsidR="00D3474F" w:rsidRDefault="00D3474F" w:rsidP="00D3474F">
            <w:pPr>
              <w:pStyle w:val="Heading2"/>
            </w:pPr>
            <w:r>
              <w:t>Ward(s):</w:t>
            </w:r>
          </w:p>
        </w:tc>
        <w:tc>
          <w:tcPr>
            <w:tcW w:w="7364" w:type="dxa"/>
          </w:tcPr>
          <w:p w14:paraId="19056F34" w14:textId="77777777" w:rsidR="00D3474F" w:rsidRDefault="00D3474F" w:rsidP="00D3474F">
            <w:r w:rsidRPr="00F01B50">
              <w:rPr>
                <w:rFonts w:cs="Arial"/>
                <w:bCs/>
              </w:rPr>
              <w:t>Deansgate</w:t>
            </w:r>
          </w:p>
        </w:tc>
      </w:tr>
      <w:tr w:rsidR="00D3474F" w14:paraId="028A56EB" w14:textId="77777777" w:rsidTr="003E4005">
        <w:tc>
          <w:tcPr>
            <w:tcW w:w="2830" w:type="dxa"/>
          </w:tcPr>
          <w:p w14:paraId="76D964E9" w14:textId="77777777" w:rsidR="00D3474F" w:rsidRDefault="00D3474F" w:rsidP="00D3474F">
            <w:pPr>
              <w:pStyle w:val="Heading2"/>
            </w:pPr>
            <w:r>
              <w:t>Date application valid:</w:t>
            </w:r>
          </w:p>
        </w:tc>
        <w:tc>
          <w:tcPr>
            <w:tcW w:w="7364" w:type="dxa"/>
          </w:tcPr>
          <w:p w14:paraId="0D01363C" w14:textId="77777777" w:rsidR="00D3474F" w:rsidRPr="00F01B50" w:rsidRDefault="00D3474F" w:rsidP="00D3474F">
            <w:pPr>
              <w:rPr>
                <w:rFonts w:cs="Arial"/>
                <w:bCs/>
              </w:rPr>
            </w:pPr>
            <w:r w:rsidRPr="00F01B50">
              <w:rPr>
                <w:rFonts w:eastAsia="MS Mincho" w:cs="Arial"/>
                <w:kern w:val="0"/>
                <w14:ligatures w14:val="none"/>
              </w:rPr>
              <w:t>13 July 2026</w:t>
            </w:r>
          </w:p>
        </w:tc>
      </w:tr>
      <w:tr w:rsidR="00D3474F" w14:paraId="5FE983A7" w14:textId="77777777" w:rsidTr="003E4005">
        <w:tc>
          <w:tcPr>
            <w:tcW w:w="2830" w:type="dxa"/>
          </w:tcPr>
          <w:p w14:paraId="103534EA" w14:textId="77777777" w:rsidR="00D3474F" w:rsidRDefault="00D3474F" w:rsidP="00D3474F">
            <w:pPr>
              <w:pStyle w:val="Heading2"/>
            </w:pPr>
            <w:r>
              <w:t>Applicant name:</w:t>
            </w:r>
          </w:p>
        </w:tc>
        <w:tc>
          <w:tcPr>
            <w:tcW w:w="7364" w:type="dxa"/>
          </w:tcPr>
          <w:p w14:paraId="643BA9AF" w14:textId="77777777" w:rsidR="00D3474F" w:rsidRDefault="00D3474F" w:rsidP="00D3474F">
            <w:r w:rsidRPr="00F01B50">
              <w:rPr>
                <w:rFonts w:cs="Arial"/>
              </w:rPr>
              <w:t>Ocean Outdoor UK Ltd</w:t>
            </w:r>
          </w:p>
        </w:tc>
      </w:tr>
      <w:tr w:rsidR="00D3474F" w14:paraId="41E46416" w14:textId="77777777" w:rsidTr="003E4005">
        <w:tc>
          <w:tcPr>
            <w:tcW w:w="2830" w:type="dxa"/>
          </w:tcPr>
          <w:p w14:paraId="1C6C78C9" w14:textId="77777777" w:rsidR="00D3474F" w:rsidRDefault="00D3474F" w:rsidP="00D3474F">
            <w:pPr>
              <w:pStyle w:val="Heading2"/>
            </w:pPr>
            <w:r>
              <w:t>Agent (if any):</w:t>
            </w:r>
          </w:p>
        </w:tc>
        <w:tc>
          <w:tcPr>
            <w:tcW w:w="7364" w:type="dxa"/>
          </w:tcPr>
          <w:p w14:paraId="086265B4" w14:textId="77777777" w:rsidR="00D3474F" w:rsidRDefault="00D3474F" w:rsidP="00D3474F">
            <w:r>
              <w:t>Paul O'Neill</w:t>
            </w:r>
          </w:p>
        </w:tc>
      </w:tr>
      <w:tr w:rsidR="00D3474F" w14:paraId="60B081C4" w14:textId="77777777" w:rsidTr="003E4005">
        <w:tc>
          <w:tcPr>
            <w:tcW w:w="2830" w:type="dxa"/>
          </w:tcPr>
          <w:p w14:paraId="71E07495" w14:textId="77777777" w:rsidR="00D3474F" w:rsidRDefault="00D3474F" w:rsidP="00D3474F">
            <w:pPr>
              <w:pStyle w:val="Heading2"/>
            </w:pPr>
            <w:r>
              <w:t>Case officer:</w:t>
            </w:r>
          </w:p>
        </w:tc>
        <w:tc>
          <w:tcPr>
            <w:tcW w:w="7364" w:type="dxa"/>
          </w:tcPr>
          <w:p w14:paraId="4AE57B1A" w14:textId="77777777" w:rsidR="00D3474F" w:rsidRDefault="00D3474F" w:rsidP="00D3474F">
            <w:r>
              <w:t>Ciara Gettinby</w:t>
            </w:r>
          </w:p>
        </w:tc>
      </w:tr>
      <w:tr w:rsidR="00D3474F" w14:paraId="3B74DFD2" w14:textId="77777777" w:rsidTr="003E4005">
        <w:tc>
          <w:tcPr>
            <w:tcW w:w="2830" w:type="dxa"/>
          </w:tcPr>
          <w:p w14:paraId="6E6F1690" w14:textId="77777777" w:rsidR="00D3474F" w:rsidRDefault="00D3474F" w:rsidP="00D3474F">
            <w:pPr>
              <w:pStyle w:val="Heading2"/>
            </w:pPr>
            <w:r>
              <w:t>Recommendation:</w:t>
            </w:r>
          </w:p>
        </w:tc>
        <w:tc>
          <w:tcPr>
            <w:tcW w:w="7364" w:type="dxa"/>
          </w:tcPr>
          <w:p w14:paraId="36C194C3" w14:textId="2DFF84DB" w:rsidR="00D3474F" w:rsidRDefault="008340F1" w:rsidP="00D3474F">
            <w:r>
              <w:t xml:space="preserve">Refuse </w:t>
            </w:r>
          </w:p>
        </w:tc>
      </w:tr>
      <w:tr w:rsidR="00D3474F" w14:paraId="72F595BC" w14:textId="77777777" w:rsidTr="003E4005">
        <w:tc>
          <w:tcPr>
            <w:tcW w:w="2830" w:type="dxa"/>
          </w:tcPr>
          <w:p w14:paraId="0DBB531C" w14:textId="77777777" w:rsidR="00D3474F" w:rsidRDefault="00D3474F" w:rsidP="00D3474F">
            <w:pPr>
              <w:pStyle w:val="Heading2"/>
            </w:pPr>
            <w:r>
              <w:t>Date of recommendation:</w:t>
            </w:r>
          </w:p>
        </w:tc>
        <w:tc>
          <w:tcPr>
            <w:tcW w:w="7364" w:type="dxa"/>
          </w:tcPr>
          <w:p w14:paraId="66700826" w14:textId="1D11DE39" w:rsidR="00D3474F" w:rsidRDefault="008340F1" w:rsidP="00D3474F">
            <w:r>
              <w:t xml:space="preserve">2 September 2026 </w:t>
            </w:r>
          </w:p>
        </w:tc>
      </w:tr>
    </w:tbl>
    <w:p w14:paraId="527E37C5" w14:textId="77777777" w:rsidR="00D3474F" w:rsidRDefault="00D3474F" w:rsidP="00D3474F"/>
    <w:p w14:paraId="4F2E5EC0" w14:textId="77777777" w:rsidR="00EF3E10" w:rsidRDefault="00EF3E10" w:rsidP="00EF3E10">
      <w:pPr>
        <w:pStyle w:val="Heading1"/>
      </w:pPr>
      <w:r>
        <w:lastRenderedPageBreak/>
        <w:t>Description of site, building and/or area</w:t>
      </w:r>
    </w:p>
    <w:p w14:paraId="75490C8A" w14:textId="11445170" w:rsidR="008340F1" w:rsidRPr="008340F1" w:rsidRDefault="008340F1" w:rsidP="008340F1">
      <w:pPr>
        <w:pStyle w:val="Heading1"/>
        <w:rPr>
          <w:b w:val="0"/>
          <w:bCs/>
          <w:sz w:val="24"/>
          <w:szCs w:val="36"/>
        </w:rPr>
      </w:pPr>
      <w:r w:rsidRPr="008340F1">
        <w:rPr>
          <w:b w:val="0"/>
          <w:bCs/>
          <w:sz w:val="24"/>
          <w:szCs w:val="36"/>
        </w:rPr>
        <w:t xml:space="preserve">The proposed site is </w:t>
      </w:r>
      <w:r w:rsidR="009B0E87">
        <w:rPr>
          <w:b w:val="0"/>
          <w:bCs/>
          <w:sz w:val="24"/>
          <w:szCs w:val="36"/>
        </w:rPr>
        <w:t xml:space="preserve">located on the corner of Oxford Road and Newman Street, outside the Manchester Technology Centre, </w:t>
      </w:r>
      <w:r w:rsidRPr="008340F1">
        <w:rPr>
          <w:b w:val="0"/>
          <w:bCs/>
          <w:sz w:val="24"/>
          <w:szCs w:val="36"/>
        </w:rPr>
        <w:t>adjacent to a landscaped public square which lies at the heart of a city centre neighbourhood known as Circle Square. The wider neighbourhood which is bounded by Oxford Road, Charles Street, Princess Road and the Mancunian Way was delivered through the Circle Square masterplan and The Former BBC Strategic Development Framework (BBC SRF). Circle Square now represents a successful high quality mixed use development which has been a catalyst to the now ongoing regeneration of the wider Oxford Road Corridor. The regeneration of this site previously a surface level car park, has delivered a high quality mixed-use neighbourhood comprising commercial workspace, residential accommodation, retail and leisure all centred around a brand-new city park.</w:t>
      </w:r>
    </w:p>
    <w:p w14:paraId="0E72EEB1" w14:textId="77777777" w:rsidR="008340F1" w:rsidRPr="008340F1" w:rsidRDefault="008340F1" w:rsidP="008340F1">
      <w:pPr>
        <w:pStyle w:val="Heading1"/>
        <w:rPr>
          <w:b w:val="0"/>
          <w:bCs/>
          <w:sz w:val="24"/>
          <w:szCs w:val="36"/>
        </w:rPr>
      </w:pPr>
    </w:p>
    <w:p w14:paraId="6A3BA6C8" w14:textId="77777777" w:rsidR="008340F1" w:rsidRPr="008340F1" w:rsidRDefault="008340F1" w:rsidP="008340F1">
      <w:pPr>
        <w:pStyle w:val="Heading1"/>
        <w:rPr>
          <w:b w:val="0"/>
          <w:bCs/>
          <w:sz w:val="24"/>
          <w:szCs w:val="36"/>
        </w:rPr>
      </w:pPr>
      <w:r w:rsidRPr="008340F1">
        <w:rPr>
          <w:b w:val="0"/>
          <w:bCs/>
          <w:sz w:val="24"/>
          <w:szCs w:val="36"/>
        </w:rPr>
        <w:t xml:space="preserve">A key part of delivering this high-quality neighbourhood was the setting of the building within the public realm which included a coherent placemaking strategy defined by a cohesive palette of wayfinding structures and other street furniture. This was implemented under application reference, 116450/FO/2017 approved in 2017. This included a number of slender wayfinding totems constructed from metal with a bespoke design. These are located at strategic points around the neighbourhood, encapsulating the Circle Square branding and helping to establish a strong sense of place within the wider area.  The signage includes freestanding gateway totems, free standing directional totem cubes, free standing traffic directional and the wall mounted information signs (see below images demonstrating the consistent design.) </w:t>
      </w:r>
    </w:p>
    <w:p w14:paraId="0D7A467D" w14:textId="77777777" w:rsidR="008340F1" w:rsidRPr="008340F1" w:rsidRDefault="008340F1" w:rsidP="008340F1">
      <w:pPr>
        <w:pStyle w:val="Heading1"/>
        <w:rPr>
          <w:b w:val="0"/>
          <w:bCs/>
          <w:sz w:val="24"/>
          <w:szCs w:val="36"/>
        </w:rPr>
      </w:pPr>
    </w:p>
    <w:p w14:paraId="26EED83E" w14:textId="3D399594" w:rsidR="008340F1" w:rsidRPr="008340F1" w:rsidRDefault="008340F1" w:rsidP="008340F1">
      <w:pPr>
        <w:pStyle w:val="Heading1"/>
        <w:rPr>
          <w:b w:val="0"/>
          <w:bCs/>
          <w:sz w:val="24"/>
          <w:szCs w:val="36"/>
        </w:rPr>
      </w:pPr>
      <w:r w:rsidRPr="008340F1">
        <w:rPr>
          <w:b w:val="0"/>
          <w:bCs/>
          <w:noProof/>
          <w:sz w:val="24"/>
          <w:szCs w:val="36"/>
        </w:rPr>
        <w:drawing>
          <wp:inline distT="0" distB="0" distL="0" distR="0" wp14:anchorId="7E93D91D" wp14:editId="688E7C0B">
            <wp:extent cx="6479540" cy="1769745"/>
            <wp:effectExtent l="0" t="0" r="0" b="1905"/>
            <wp:docPr id="16411648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40" cy="1769745"/>
                    </a:xfrm>
                    <a:prstGeom prst="rect">
                      <a:avLst/>
                    </a:prstGeom>
                    <a:noFill/>
                    <a:ln>
                      <a:noFill/>
                    </a:ln>
                  </pic:spPr>
                </pic:pic>
              </a:graphicData>
            </a:graphic>
          </wp:inline>
        </w:drawing>
      </w:r>
    </w:p>
    <w:p w14:paraId="33EA8A28" w14:textId="1DA3104C" w:rsidR="008340F1" w:rsidRPr="008340F1" w:rsidRDefault="008340F1" w:rsidP="008340F1">
      <w:pPr>
        <w:pStyle w:val="Heading1"/>
        <w:rPr>
          <w:b w:val="0"/>
          <w:bCs/>
          <w:sz w:val="24"/>
          <w:szCs w:val="36"/>
        </w:rPr>
      </w:pPr>
      <w:r w:rsidRPr="008340F1">
        <w:rPr>
          <w:b w:val="0"/>
          <w:bCs/>
          <w:noProof/>
          <w:sz w:val="24"/>
          <w:szCs w:val="36"/>
        </w:rPr>
        <w:lastRenderedPageBreak/>
        <w:drawing>
          <wp:inline distT="0" distB="0" distL="0" distR="0" wp14:anchorId="08FD378F" wp14:editId="6AA6D76B">
            <wp:extent cx="5581650" cy="2438400"/>
            <wp:effectExtent l="0" t="0" r="0" b="0"/>
            <wp:docPr id="1436282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438400"/>
                    </a:xfrm>
                    <a:prstGeom prst="rect">
                      <a:avLst/>
                    </a:prstGeom>
                    <a:noFill/>
                    <a:ln>
                      <a:noFill/>
                    </a:ln>
                  </pic:spPr>
                </pic:pic>
              </a:graphicData>
            </a:graphic>
          </wp:inline>
        </w:drawing>
      </w:r>
    </w:p>
    <w:p w14:paraId="05998923" w14:textId="6E2EB577" w:rsidR="009B0E87" w:rsidRPr="009B0E87" w:rsidRDefault="008340F1" w:rsidP="009B0E87">
      <w:pPr>
        <w:pStyle w:val="Heading1"/>
        <w:rPr>
          <w:b w:val="0"/>
          <w:bCs/>
          <w:sz w:val="24"/>
          <w:szCs w:val="36"/>
        </w:rPr>
      </w:pPr>
      <w:r w:rsidRPr="008340F1">
        <w:rPr>
          <w:b w:val="0"/>
          <w:bCs/>
          <w:sz w:val="24"/>
          <w:szCs w:val="36"/>
        </w:rPr>
        <w:t xml:space="preserve">The wider area is also characterised by the neighbouring Universities, including, The University of Manchester and Manchester Metropolitan University, there is heavy footfall along Oxford Road due to the students and visitors of the University. Oxford Road is a key arterial gateway route leading into the City Centre from the Universities, it benefits from cycle lanes, and the road is restricted to buses and black cabs. </w:t>
      </w:r>
    </w:p>
    <w:p w14:paraId="638780D6" w14:textId="77777777" w:rsidR="008340F1" w:rsidRPr="008340F1" w:rsidRDefault="008340F1" w:rsidP="008340F1">
      <w:pPr>
        <w:pStyle w:val="Heading1"/>
        <w:rPr>
          <w:b w:val="0"/>
          <w:bCs/>
          <w:sz w:val="24"/>
          <w:szCs w:val="36"/>
        </w:rPr>
      </w:pPr>
      <w:r w:rsidRPr="008340F1">
        <w:rPr>
          <w:b w:val="0"/>
          <w:bCs/>
          <w:sz w:val="24"/>
          <w:szCs w:val="36"/>
        </w:rPr>
        <w:t>There are no designated heritage assets (Scheduled Monuments, Grade I, II* and II Listed Buildings, Conservation Areas, Registered Parks and Gardens or Registered Battlefields) within the site boundary. There are a number of listed buildings in the vicinity, including Grade II listed Lass O'Gowrie pub on Charles Street and Grade II* Palace Hotel on Oxford Road. The Grade II listed Dancehall Theatre located on Oxford Road overlooks the broader Masterplan Site from the West. The Site is not within a Conservation Area but the border of the Whitworth Street Conservation Area lies to the north of on Whitworth Street. The site lies within a highly accessible City Centre location through the use of a variety of public transport including Metrolink, bus and rail.</w:t>
      </w:r>
    </w:p>
    <w:p w14:paraId="3F908960" w14:textId="77777777" w:rsidR="008340F1" w:rsidRDefault="008340F1" w:rsidP="00EF3E10">
      <w:pPr>
        <w:pStyle w:val="Heading1"/>
      </w:pPr>
    </w:p>
    <w:p w14:paraId="31844E31" w14:textId="5186E874" w:rsidR="00EF3E10" w:rsidRDefault="00EF3E10" w:rsidP="00EF3E10">
      <w:pPr>
        <w:pStyle w:val="Heading1"/>
      </w:pPr>
      <w:r>
        <w:t>Description of development</w:t>
      </w:r>
    </w:p>
    <w:p w14:paraId="64CF3B13" w14:textId="77777777" w:rsidR="008340F1" w:rsidRPr="008340F1" w:rsidRDefault="008340F1" w:rsidP="008340F1">
      <w:pPr>
        <w:pStyle w:val="Heading1"/>
        <w:rPr>
          <w:b w:val="0"/>
          <w:bCs/>
          <w:sz w:val="24"/>
          <w:szCs w:val="36"/>
        </w:rPr>
      </w:pPr>
      <w:r w:rsidRPr="008340F1">
        <w:rPr>
          <w:b w:val="0"/>
          <w:bCs/>
          <w:sz w:val="24"/>
          <w:szCs w:val="36"/>
        </w:rPr>
        <w:t xml:space="preserve">The proposal seeks advertisement consent for the installation of 1no. internally illuminated double sided digital advertising unit screen. This would include a black powder coated aluminium frame, and a double-sided LED screen. The unit would incorporate an Ultra HD screen on each side, ambient light sensors and laminated vandal glass.  The screen would operate between 07:00 and 21:00 and would be controlled by a light sensor so that the luminance levels respond to surrounding lighting conditions. </w:t>
      </w:r>
    </w:p>
    <w:p w14:paraId="460FD245" w14:textId="245CB1C0" w:rsidR="00902F41" w:rsidRPr="009B0E87" w:rsidRDefault="008340F1" w:rsidP="009B0E87">
      <w:pPr>
        <w:pStyle w:val="Heading1"/>
        <w:rPr>
          <w:b w:val="0"/>
          <w:bCs/>
          <w:sz w:val="24"/>
          <w:szCs w:val="36"/>
        </w:rPr>
      </w:pPr>
      <w:r w:rsidRPr="008340F1">
        <w:rPr>
          <w:b w:val="0"/>
          <w:bCs/>
          <w:sz w:val="24"/>
          <w:szCs w:val="36"/>
        </w:rPr>
        <w:t xml:space="preserve">The scheme has been submitted in relation to other advertisement consents around the Circle Square site, </w:t>
      </w:r>
      <w:r w:rsidR="009B0E87">
        <w:rPr>
          <w:b w:val="0"/>
          <w:bCs/>
          <w:sz w:val="24"/>
          <w:szCs w:val="36"/>
        </w:rPr>
        <w:t>PLA-2026-000946</w:t>
      </w:r>
      <w:r w:rsidRPr="008340F1">
        <w:rPr>
          <w:b w:val="0"/>
          <w:bCs/>
          <w:sz w:val="24"/>
          <w:szCs w:val="36"/>
        </w:rPr>
        <w:t xml:space="preserve">, PLA-2026-001086 and PLA-2026-001009. Each proposal also consists of the erection of a double-sided illuminated freestanding digital advertisement totem. </w:t>
      </w:r>
    </w:p>
    <w:p w14:paraId="3FF5E1B0" w14:textId="77777777" w:rsidR="00902F41" w:rsidRDefault="00902F41" w:rsidP="00902F41"/>
    <w:p w14:paraId="52CF4413" w14:textId="7A7D2BC2" w:rsidR="008340F1" w:rsidRDefault="008340F1" w:rsidP="008340F1">
      <w:pPr>
        <w:pStyle w:val="Heading1"/>
      </w:pPr>
      <w:r>
        <w:t>Proposed Plans:</w:t>
      </w:r>
    </w:p>
    <w:p w14:paraId="22FB0F01" w14:textId="6E9BC774" w:rsidR="00902F41" w:rsidRDefault="00902F41" w:rsidP="00902F41">
      <w:r>
        <w:rPr>
          <w:noProof/>
        </w:rPr>
        <w:drawing>
          <wp:inline distT="0" distB="0" distL="0" distR="0" wp14:anchorId="693FAAB8" wp14:editId="340289C6">
            <wp:extent cx="4864457" cy="3343275"/>
            <wp:effectExtent l="0" t="0" r="0" b="0"/>
            <wp:docPr id="58631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19580" name="Picture 1"/>
                    <pic:cNvPicPr>
                      <a:picLocks noChangeAspect="1"/>
                    </pic:cNvPicPr>
                  </pic:nvPicPr>
                  <pic:blipFill>
                    <a:blip r:embed="rId10"/>
                    <a:stretch>
                      <a:fillRect/>
                    </a:stretch>
                  </pic:blipFill>
                  <pic:spPr>
                    <a:xfrm>
                      <a:off x="0" y="0"/>
                      <a:ext cx="4865970" cy="3344315"/>
                    </a:xfrm>
                    <a:prstGeom prst="rect">
                      <a:avLst/>
                    </a:prstGeom>
                  </pic:spPr>
                </pic:pic>
              </a:graphicData>
            </a:graphic>
          </wp:inline>
        </w:drawing>
      </w:r>
    </w:p>
    <w:p w14:paraId="1704258E" w14:textId="583F8589" w:rsidR="00902F41" w:rsidRDefault="00902F41" w:rsidP="00902F41">
      <w:r>
        <w:rPr>
          <w:noProof/>
        </w:rPr>
        <w:drawing>
          <wp:inline distT="0" distB="0" distL="0" distR="0" wp14:anchorId="17F2B3F6" wp14:editId="75AFFDFC">
            <wp:extent cx="3222387" cy="3724275"/>
            <wp:effectExtent l="0" t="0" r="0" b="0"/>
            <wp:docPr id="64684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7426" name="Picture 1"/>
                    <pic:cNvPicPr>
                      <a:picLocks noChangeAspect="1"/>
                    </pic:cNvPicPr>
                  </pic:nvPicPr>
                  <pic:blipFill>
                    <a:blip r:embed="rId11"/>
                    <a:stretch>
                      <a:fillRect/>
                    </a:stretch>
                  </pic:blipFill>
                  <pic:spPr>
                    <a:xfrm>
                      <a:off x="0" y="0"/>
                      <a:ext cx="3225631" cy="3728025"/>
                    </a:xfrm>
                    <a:prstGeom prst="rect">
                      <a:avLst/>
                    </a:prstGeom>
                  </pic:spPr>
                </pic:pic>
              </a:graphicData>
            </a:graphic>
          </wp:inline>
        </w:drawing>
      </w:r>
    </w:p>
    <w:p w14:paraId="60A6912F" w14:textId="74E92DE0" w:rsidR="00902F41" w:rsidRPr="00902F41" w:rsidRDefault="00902F41" w:rsidP="00902F41">
      <w:r w:rsidRPr="00902F41">
        <w:rPr>
          <w:noProof/>
        </w:rPr>
        <w:lastRenderedPageBreak/>
        <w:drawing>
          <wp:inline distT="0" distB="0" distL="0" distR="0" wp14:anchorId="3091DE37" wp14:editId="64A75F32">
            <wp:extent cx="5943600" cy="2625090"/>
            <wp:effectExtent l="0" t="0" r="0" b="3810"/>
            <wp:docPr id="145451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18882" name=""/>
                    <pic:cNvPicPr/>
                  </pic:nvPicPr>
                  <pic:blipFill>
                    <a:blip r:embed="rId12"/>
                    <a:stretch>
                      <a:fillRect/>
                    </a:stretch>
                  </pic:blipFill>
                  <pic:spPr>
                    <a:xfrm>
                      <a:off x="0" y="0"/>
                      <a:ext cx="5943600" cy="2625090"/>
                    </a:xfrm>
                    <a:prstGeom prst="rect">
                      <a:avLst/>
                    </a:prstGeom>
                  </pic:spPr>
                </pic:pic>
              </a:graphicData>
            </a:graphic>
          </wp:inline>
        </w:drawing>
      </w:r>
    </w:p>
    <w:p w14:paraId="259CC039" w14:textId="77777777" w:rsidR="008340F1" w:rsidRDefault="008340F1" w:rsidP="008340F1"/>
    <w:p w14:paraId="1F9AABA8" w14:textId="77777777" w:rsidR="008340F1" w:rsidRDefault="008340F1" w:rsidP="008340F1"/>
    <w:p w14:paraId="0C869E30" w14:textId="049E93DD" w:rsidR="008340F1" w:rsidRDefault="008340F1" w:rsidP="008340F1">
      <w:pPr>
        <w:rPr>
          <w:b/>
          <w:bCs/>
          <w:sz w:val="28"/>
          <w:szCs w:val="28"/>
        </w:rPr>
      </w:pPr>
      <w:r w:rsidRPr="008340F1">
        <w:rPr>
          <w:b/>
          <w:bCs/>
          <w:sz w:val="28"/>
          <w:szCs w:val="28"/>
        </w:rPr>
        <w:t>Site Photos</w:t>
      </w:r>
      <w:r w:rsidR="00902F41">
        <w:rPr>
          <w:b/>
          <w:bCs/>
          <w:sz w:val="28"/>
          <w:szCs w:val="28"/>
        </w:rPr>
        <w:t>:</w:t>
      </w:r>
    </w:p>
    <w:p w14:paraId="268FF184" w14:textId="77777777" w:rsidR="00902F41" w:rsidRDefault="00902F41" w:rsidP="008340F1">
      <w:pPr>
        <w:rPr>
          <w:b/>
          <w:bCs/>
          <w:sz w:val="28"/>
          <w:szCs w:val="28"/>
        </w:rPr>
      </w:pPr>
    </w:p>
    <w:p w14:paraId="7BBA3203" w14:textId="58D5C227" w:rsidR="00902F41" w:rsidRPr="00902F41" w:rsidRDefault="00902F41" w:rsidP="00902F41">
      <w:pPr>
        <w:rPr>
          <w:b/>
          <w:bCs/>
          <w:sz w:val="28"/>
          <w:szCs w:val="28"/>
        </w:rPr>
      </w:pPr>
      <w:r w:rsidRPr="00902F41">
        <w:rPr>
          <w:b/>
          <w:bCs/>
          <w:noProof/>
          <w:sz w:val="28"/>
          <w:szCs w:val="28"/>
        </w:rPr>
        <w:drawing>
          <wp:inline distT="0" distB="0" distL="0" distR="0" wp14:anchorId="30A9C368" wp14:editId="72774A08">
            <wp:extent cx="5943600" cy="3933825"/>
            <wp:effectExtent l="0" t="0" r="0" b="9525"/>
            <wp:docPr id="335241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52"/>
                    <a:stretch>
                      <a:fillRect/>
                    </a:stretch>
                  </pic:blipFill>
                  <pic:spPr bwMode="auto">
                    <a:xfrm>
                      <a:off x="0" y="0"/>
                      <a:ext cx="5943600" cy="3933825"/>
                    </a:xfrm>
                    <a:prstGeom prst="rect">
                      <a:avLst/>
                    </a:prstGeom>
                    <a:noFill/>
                    <a:ln>
                      <a:noFill/>
                    </a:ln>
                    <a:extLst>
                      <a:ext uri="{53640926-AAD7-44D8-BBD7-CCE9431645EC}">
                        <a14:shadowObscured xmlns:a14="http://schemas.microsoft.com/office/drawing/2010/main"/>
                      </a:ext>
                    </a:extLst>
                  </pic:spPr>
                </pic:pic>
              </a:graphicData>
            </a:graphic>
          </wp:inline>
        </w:drawing>
      </w:r>
    </w:p>
    <w:p w14:paraId="25B257E4" w14:textId="77777777" w:rsidR="00902F41" w:rsidRPr="008340F1" w:rsidRDefault="00902F41" w:rsidP="008340F1">
      <w:pPr>
        <w:rPr>
          <w:b/>
          <w:bCs/>
          <w:sz w:val="28"/>
          <w:szCs w:val="28"/>
        </w:rPr>
      </w:pPr>
    </w:p>
    <w:p w14:paraId="5CF73EB5" w14:textId="77777777" w:rsidR="008340F1" w:rsidRDefault="008340F1" w:rsidP="00C62A32">
      <w:pPr>
        <w:pStyle w:val="Heading1"/>
      </w:pPr>
    </w:p>
    <w:p w14:paraId="5960E027" w14:textId="74737619" w:rsidR="00EF3E10" w:rsidRDefault="00C62A32" w:rsidP="00C62A32">
      <w:pPr>
        <w:pStyle w:val="Heading1"/>
      </w:pPr>
      <w:r>
        <w:t>Consultation, notification and publicity responses</w:t>
      </w:r>
    </w:p>
    <w:p w14:paraId="3B837EB6" w14:textId="69372849" w:rsidR="008340F1" w:rsidRPr="008340F1" w:rsidRDefault="00C62A32" w:rsidP="00902F41">
      <w:pPr>
        <w:pStyle w:val="Heading2"/>
      </w:pPr>
      <w:r>
        <w:t>Consultations</w:t>
      </w:r>
    </w:p>
    <w:p w14:paraId="2D7EA754" w14:textId="77777777" w:rsidR="008340F1" w:rsidRPr="008340F1" w:rsidRDefault="008340F1" w:rsidP="008340F1">
      <w:pPr>
        <w:pStyle w:val="Heading2"/>
        <w:rPr>
          <w:b w:val="0"/>
          <w:bCs/>
        </w:rPr>
      </w:pPr>
      <w:r w:rsidRPr="008340F1">
        <w:rPr>
          <w:b w:val="0"/>
          <w:bCs/>
          <w:u w:val="single"/>
        </w:rPr>
        <w:t>Highway Services</w:t>
      </w:r>
      <w:r w:rsidRPr="008340F1">
        <w:rPr>
          <w:b w:val="0"/>
          <w:bCs/>
        </w:rPr>
        <w:t xml:space="preserve">- No objections to the proposal but have provided necessary conditions should the application be approved. </w:t>
      </w:r>
    </w:p>
    <w:p w14:paraId="6EE60DCA" w14:textId="77777777" w:rsidR="008340F1" w:rsidRPr="008340F1" w:rsidRDefault="008340F1" w:rsidP="008340F1">
      <w:pPr>
        <w:pStyle w:val="Heading2"/>
        <w:rPr>
          <w:b w:val="0"/>
          <w:bCs/>
        </w:rPr>
      </w:pPr>
    </w:p>
    <w:p w14:paraId="0AABFB24" w14:textId="77777777" w:rsidR="008340F1" w:rsidRPr="008340F1" w:rsidRDefault="008340F1" w:rsidP="008340F1">
      <w:pPr>
        <w:pStyle w:val="Heading2"/>
        <w:rPr>
          <w:b w:val="0"/>
          <w:bCs/>
        </w:rPr>
      </w:pPr>
      <w:r w:rsidRPr="008340F1">
        <w:rPr>
          <w:b w:val="0"/>
          <w:bCs/>
          <w:u w:val="single"/>
        </w:rPr>
        <w:t>Environmental health</w:t>
      </w:r>
      <w:r w:rsidRPr="008340F1">
        <w:rPr>
          <w:b w:val="0"/>
          <w:bCs/>
        </w:rPr>
        <w:t xml:space="preserve">- Requested that if the application were to be approved, conditions should be attached to control the light of the display screens and for a maintenance management plan to be submitted. </w:t>
      </w:r>
    </w:p>
    <w:p w14:paraId="7F6BC6BF" w14:textId="77777777" w:rsidR="008340F1" w:rsidRDefault="008340F1" w:rsidP="00C62A32">
      <w:pPr>
        <w:pStyle w:val="Heading2"/>
      </w:pPr>
    </w:p>
    <w:p w14:paraId="7BF97EFF" w14:textId="77777777" w:rsidR="008340F1" w:rsidRDefault="008340F1" w:rsidP="00C62A32">
      <w:pPr>
        <w:pStyle w:val="Heading2"/>
      </w:pPr>
    </w:p>
    <w:p w14:paraId="7B8A0670" w14:textId="64B48259" w:rsidR="00EF3E10" w:rsidRDefault="00C62A32" w:rsidP="00C62A32">
      <w:pPr>
        <w:pStyle w:val="Heading2"/>
      </w:pPr>
      <w:r>
        <w:t>Notifications and publicity</w:t>
      </w:r>
    </w:p>
    <w:p w14:paraId="343F3C1D" w14:textId="77777777" w:rsidR="008340F1" w:rsidRPr="008340F1" w:rsidRDefault="008340F1" w:rsidP="008340F1">
      <w:pPr>
        <w:pStyle w:val="Heading1"/>
        <w:rPr>
          <w:b w:val="0"/>
          <w:sz w:val="24"/>
          <w:szCs w:val="36"/>
        </w:rPr>
      </w:pPr>
      <w:r w:rsidRPr="008340F1">
        <w:rPr>
          <w:b w:val="0"/>
          <w:sz w:val="24"/>
          <w:szCs w:val="36"/>
        </w:rPr>
        <w:t xml:space="preserve">Neighbouring properties were notified via letter of the proposal; no representations have been received. </w:t>
      </w:r>
    </w:p>
    <w:p w14:paraId="23566307" w14:textId="77777777" w:rsidR="008340F1" w:rsidRDefault="008340F1" w:rsidP="00EF3E10">
      <w:pPr>
        <w:pStyle w:val="Heading1"/>
      </w:pPr>
    </w:p>
    <w:p w14:paraId="40DC363C" w14:textId="2D8A07B4" w:rsidR="00EF3E10" w:rsidRDefault="00EF3E10" w:rsidP="00EF3E10">
      <w:pPr>
        <w:pStyle w:val="Heading1"/>
      </w:pPr>
      <w:r>
        <w:t>Relevant policies</w:t>
      </w:r>
    </w:p>
    <w:p w14:paraId="2FD09AC0" w14:textId="77777777" w:rsidR="008340F1" w:rsidRPr="008340F1" w:rsidRDefault="008340F1" w:rsidP="008340F1">
      <w:pPr>
        <w:pStyle w:val="Heading1"/>
        <w:rPr>
          <w:bCs/>
          <w:sz w:val="24"/>
          <w:szCs w:val="36"/>
          <w:u w:val="single"/>
        </w:rPr>
      </w:pPr>
      <w:r w:rsidRPr="008340F1">
        <w:rPr>
          <w:bCs/>
          <w:sz w:val="24"/>
          <w:szCs w:val="36"/>
          <w:u w:val="single"/>
        </w:rPr>
        <w:t xml:space="preserve">The Town and County Planning (Control of Advertisements) Regulations 2007 </w:t>
      </w:r>
    </w:p>
    <w:p w14:paraId="17B37269" w14:textId="1F03C2AD" w:rsidR="008340F1" w:rsidRPr="008340F1" w:rsidRDefault="008340F1" w:rsidP="008340F1">
      <w:pPr>
        <w:pStyle w:val="Heading1"/>
        <w:rPr>
          <w:b w:val="0"/>
          <w:bCs/>
          <w:sz w:val="24"/>
          <w:szCs w:val="36"/>
        </w:rPr>
      </w:pPr>
      <w:r w:rsidRPr="008340F1">
        <w:rPr>
          <w:b w:val="0"/>
          <w:bCs/>
          <w:sz w:val="24"/>
          <w:szCs w:val="36"/>
        </w:rPr>
        <w:t xml:space="preserve">The Local Planning Authority shall exercise its powers under these Regulations in the interests of amenity and public safety, taking into account- </w:t>
      </w:r>
    </w:p>
    <w:p w14:paraId="5A38F365" w14:textId="77777777" w:rsidR="008340F1" w:rsidRPr="008340F1" w:rsidRDefault="008340F1" w:rsidP="008340F1">
      <w:pPr>
        <w:pStyle w:val="Heading1"/>
        <w:numPr>
          <w:ilvl w:val="0"/>
          <w:numId w:val="6"/>
        </w:numPr>
        <w:rPr>
          <w:b w:val="0"/>
          <w:bCs/>
          <w:sz w:val="24"/>
          <w:szCs w:val="36"/>
        </w:rPr>
      </w:pPr>
      <w:r w:rsidRPr="008340F1">
        <w:rPr>
          <w:b w:val="0"/>
          <w:bCs/>
          <w:sz w:val="24"/>
          <w:szCs w:val="36"/>
        </w:rPr>
        <w:t xml:space="preserve">The provisions of the development plan, so far they are material; and </w:t>
      </w:r>
    </w:p>
    <w:p w14:paraId="4C61181A" w14:textId="28E565F9" w:rsidR="008340F1" w:rsidRPr="00902F41" w:rsidRDefault="008340F1" w:rsidP="008340F1">
      <w:pPr>
        <w:pStyle w:val="Heading1"/>
        <w:numPr>
          <w:ilvl w:val="0"/>
          <w:numId w:val="6"/>
        </w:numPr>
        <w:rPr>
          <w:b w:val="0"/>
          <w:bCs/>
          <w:sz w:val="24"/>
          <w:szCs w:val="36"/>
        </w:rPr>
      </w:pPr>
      <w:r w:rsidRPr="008340F1">
        <w:rPr>
          <w:b w:val="0"/>
          <w:bCs/>
          <w:sz w:val="24"/>
          <w:szCs w:val="36"/>
        </w:rPr>
        <w:t xml:space="preserve">Any other relevant factors </w:t>
      </w:r>
    </w:p>
    <w:p w14:paraId="7BCE5970" w14:textId="0385D5D5" w:rsidR="008340F1" w:rsidRPr="008340F1" w:rsidRDefault="008340F1" w:rsidP="008340F1">
      <w:pPr>
        <w:pStyle w:val="Heading1"/>
        <w:rPr>
          <w:b w:val="0"/>
          <w:bCs/>
          <w:sz w:val="24"/>
          <w:szCs w:val="36"/>
        </w:rPr>
      </w:pPr>
      <w:r w:rsidRPr="008340F1">
        <w:rPr>
          <w:b w:val="0"/>
          <w:bCs/>
          <w:sz w:val="24"/>
          <w:szCs w:val="36"/>
        </w:rPr>
        <w:t xml:space="preserve">2. </w:t>
      </w:r>
    </w:p>
    <w:p w14:paraId="364A1905" w14:textId="77777777" w:rsidR="008340F1" w:rsidRPr="008340F1" w:rsidRDefault="008340F1" w:rsidP="008340F1">
      <w:pPr>
        <w:pStyle w:val="Heading1"/>
        <w:numPr>
          <w:ilvl w:val="0"/>
          <w:numId w:val="7"/>
        </w:numPr>
        <w:rPr>
          <w:b w:val="0"/>
          <w:bCs/>
          <w:sz w:val="24"/>
          <w:szCs w:val="36"/>
        </w:rPr>
      </w:pPr>
      <w:r w:rsidRPr="008340F1">
        <w:rPr>
          <w:b w:val="0"/>
          <w:bCs/>
          <w:sz w:val="24"/>
          <w:szCs w:val="36"/>
        </w:rPr>
        <w:t>Factors relevant to amenity include the general characteristics of the locality, including the presence of any feature of historic, architectural, cultural or similar interest;</w:t>
      </w:r>
    </w:p>
    <w:p w14:paraId="6F5835BC" w14:textId="687A0039" w:rsidR="008340F1" w:rsidRPr="00902F41" w:rsidRDefault="008340F1" w:rsidP="008340F1">
      <w:pPr>
        <w:pStyle w:val="Heading1"/>
        <w:numPr>
          <w:ilvl w:val="0"/>
          <w:numId w:val="7"/>
        </w:numPr>
        <w:rPr>
          <w:b w:val="0"/>
          <w:bCs/>
          <w:sz w:val="24"/>
          <w:szCs w:val="36"/>
        </w:rPr>
      </w:pPr>
      <w:r w:rsidRPr="008340F1">
        <w:rPr>
          <w:b w:val="0"/>
          <w:bCs/>
          <w:sz w:val="24"/>
          <w:szCs w:val="36"/>
        </w:rPr>
        <w:t xml:space="preserve">Factors relevant to the public safety include- </w:t>
      </w:r>
    </w:p>
    <w:p w14:paraId="261267A8" w14:textId="77777777" w:rsidR="008340F1" w:rsidRPr="008340F1" w:rsidRDefault="008340F1" w:rsidP="008340F1">
      <w:pPr>
        <w:pStyle w:val="Heading1"/>
        <w:numPr>
          <w:ilvl w:val="0"/>
          <w:numId w:val="8"/>
        </w:numPr>
        <w:rPr>
          <w:b w:val="0"/>
          <w:bCs/>
          <w:sz w:val="24"/>
          <w:szCs w:val="36"/>
        </w:rPr>
      </w:pPr>
      <w:r w:rsidRPr="008340F1">
        <w:rPr>
          <w:b w:val="0"/>
          <w:bCs/>
          <w:sz w:val="24"/>
          <w:szCs w:val="36"/>
        </w:rPr>
        <w:t xml:space="preserve">The safety of persons using any highway, railway, waterway, etc.. </w:t>
      </w:r>
    </w:p>
    <w:p w14:paraId="2B1F6356" w14:textId="77777777" w:rsidR="008340F1" w:rsidRPr="008340F1" w:rsidRDefault="008340F1" w:rsidP="008340F1">
      <w:pPr>
        <w:pStyle w:val="Heading1"/>
        <w:numPr>
          <w:ilvl w:val="0"/>
          <w:numId w:val="8"/>
        </w:numPr>
        <w:rPr>
          <w:b w:val="0"/>
          <w:bCs/>
          <w:sz w:val="24"/>
          <w:szCs w:val="36"/>
        </w:rPr>
      </w:pPr>
      <w:r w:rsidRPr="008340F1">
        <w:rPr>
          <w:b w:val="0"/>
          <w:bCs/>
          <w:sz w:val="24"/>
          <w:szCs w:val="36"/>
        </w:rPr>
        <w:t xml:space="preserve">Whether the display of an advertisement in question is likely to obscure or hinder the ready interpretation of, any traffic sign, railway signal or aid </w:t>
      </w:r>
    </w:p>
    <w:p w14:paraId="6E32A2C5" w14:textId="77777777" w:rsidR="008340F1" w:rsidRPr="008340F1" w:rsidRDefault="008340F1" w:rsidP="008340F1">
      <w:pPr>
        <w:pStyle w:val="Heading1"/>
        <w:numPr>
          <w:ilvl w:val="0"/>
          <w:numId w:val="8"/>
        </w:numPr>
        <w:rPr>
          <w:b w:val="0"/>
          <w:bCs/>
          <w:sz w:val="24"/>
          <w:szCs w:val="36"/>
        </w:rPr>
      </w:pPr>
      <w:r w:rsidRPr="008340F1">
        <w:rPr>
          <w:b w:val="0"/>
          <w:bCs/>
          <w:sz w:val="24"/>
          <w:szCs w:val="36"/>
        </w:rPr>
        <w:t xml:space="preserve">Whether the display of an advertisement in question is likely to hinder the operation of any device used for the purpose of security or surveillance or for measuring the speed of any vehicle </w:t>
      </w:r>
    </w:p>
    <w:p w14:paraId="279B592D" w14:textId="77777777" w:rsidR="008340F1" w:rsidRPr="008340F1" w:rsidRDefault="008340F1" w:rsidP="008340F1">
      <w:pPr>
        <w:pStyle w:val="Heading1"/>
        <w:rPr>
          <w:b w:val="0"/>
          <w:bCs/>
          <w:sz w:val="24"/>
          <w:szCs w:val="36"/>
        </w:rPr>
      </w:pPr>
    </w:p>
    <w:p w14:paraId="0950A90C" w14:textId="2B67727C" w:rsidR="008340F1" w:rsidRPr="008340F1" w:rsidRDefault="008340F1" w:rsidP="008340F1">
      <w:pPr>
        <w:pStyle w:val="Heading1"/>
        <w:rPr>
          <w:b w:val="0"/>
          <w:bCs/>
          <w:sz w:val="24"/>
          <w:szCs w:val="36"/>
        </w:rPr>
      </w:pPr>
      <w:r w:rsidRPr="008340F1">
        <w:rPr>
          <w:b w:val="0"/>
          <w:bCs/>
          <w:sz w:val="24"/>
          <w:szCs w:val="36"/>
        </w:rPr>
        <w:t xml:space="preserve">3. In taking account of factors relevant to amenity, the local planning authority may, if it thinks fit, disregard any advertisement that is being displayed. </w:t>
      </w:r>
    </w:p>
    <w:p w14:paraId="08D80944" w14:textId="5D378BEF" w:rsidR="008340F1" w:rsidRPr="008340F1" w:rsidRDefault="008340F1" w:rsidP="008340F1">
      <w:pPr>
        <w:pStyle w:val="Heading1"/>
        <w:rPr>
          <w:b w:val="0"/>
          <w:bCs/>
          <w:sz w:val="24"/>
          <w:szCs w:val="36"/>
        </w:rPr>
      </w:pPr>
      <w:r w:rsidRPr="008340F1">
        <w:rPr>
          <w:b w:val="0"/>
          <w:bCs/>
          <w:sz w:val="24"/>
          <w:szCs w:val="36"/>
        </w:rPr>
        <w:lastRenderedPageBreak/>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62E821FC" w14:textId="77777777" w:rsidR="008340F1" w:rsidRPr="008340F1" w:rsidRDefault="008340F1" w:rsidP="008340F1">
      <w:pPr>
        <w:pStyle w:val="Heading1"/>
        <w:rPr>
          <w:b w:val="0"/>
          <w:bCs/>
          <w:sz w:val="24"/>
          <w:szCs w:val="36"/>
        </w:rPr>
      </w:pPr>
      <w:r w:rsidRPr="008340F1">
        <w:rPr>
          <w:b w:val="0"/>
          <w:bCs/>
          <w:sz w:val="24"/>
          <w:szCs w:val="36"/>
        </w:rPr>
        <w:t>The following policies are considered relevant in the consideration of this application:</w:t>
      </w:r>
    </w:p>
    <w:p w14:paraId="7E6CA7CB" w14:textId="77777777" w:rsidR="008340F1" w:rsidRPr="008340F1" w:rsidRDefault="008340F1" w:rsidP="008340F1">
      <w:pPr>
        <w:pStyle w:val="Heading1"/>
        <w:rPr>
          <w:bCs/>
          <w:sz w:val="24"/>
          <w:szCs w:val="36"/>
          <w:u w:val="single"/>
        </w:rPr>
      </w:pPr>
    </w:p>
    <w:p w14:paraId="012DE61D" w14:textId="4EC297A1" w:rsidR="008340F1" w:rsidRPr="008340F1" w:rsidRDefault="008340F1" w:rsidP="008340F1">
      <w:pPr>
        <w:pStyle w:val="Heading1"/>
        <w:rPr>
          <w:sz w:val="24"/>
          <w:szCs w:val="36"/>
        </w:rPr>
      </w:pPr>
      <w:r w:rsidRPr="008340F1">
        <w:rPr>
          <w:bCs/>
          <w:sz w:val="24"/>
          <w:szCs w:val="36"/>
          <w:u w:val="single"/>
        </w:rPr>
        <w:t>Places for Everyone-</w:t>
      </w:r>
      <w:r w:rsidRPr="008340F1">
        <w:rPr>
          <w:sz w:val="24"/>
          <w:szCs w:val="36"/>
        </w:rPr>
        <w:t xml:space="preserve"> </w:t>
      </w:r>
      <w:r w:rsidRPr="008340F1">
        <w:rPr>
          <w:b w:val="0"/>
          <w:bCs/>
          <w:sz w:val="24"/>
          <w:szCs w:val="36"/>
        </w:rPr>
        <w:t>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r w:rsidRPr="008340F1">
        <w:rPr>
          <w:sz w:val="24"/>
          <w:szCs w:val="36"/>
        </w:rPr>
        <w:t xml:space="preserve"> </w:t>
      </w:r>
    </w:p>
    <w:p w14:paraId="5FB92F76" w14:textId="1A3FDD59" w:rsidR="008340F1" w:rsidRDefault="008340F1" w:rsidP="008340F1">
      <w:pPr>
        <w:pStyle w:val="Heading1"/>
        <w:rPr>
          <w:b w:val="0"/>
          <w:bCs/>
          <w:sz w:val="24"/>
          <w:szCs w:val="36"/>
        </w:rPr>
      </w:pPr>
      <w:r w:rsidRPr="008340F1">
        <w:rPr>
          <w:b w:val="0"/>
          <w:bCs/>
          <w:sz w:val="24"/>
          <w:szCs w:val="36"/>
        </w:rPr>
        <w:t xml:space="preserve">-Policy JP-P1- Sustainable Places </w:t>
      </w:r>
    </w:p>
    <w:p w14:paraId="73288B24" w14:textId="34DB3046" w:rsidR="008340F1" w:rsidRPr="008340F1" w:rsidRDefault="008340F1" w:rsidP="008340F1">
      <w:pPr>
        <w:pStyle w:val="Heading1"/>
        <w:rPr>
          <w:sz w:val="24"/>
          <w:szCs w:val="36"/>
        </w:rPr>
      </w:pPr>
      <w:r w:rsidRPr="008340F1">
        <w:rPr>
          <w:bCs/>
          <w:sz w:val="24"/>
          <w:szCs w:val="36"/>
          <w:u w:val="single"/>
        </w:rPr>
        <w:t>The Manchester Core Strategy-</w:t>
      </w:r>
      <w:r w:rsidRPr="008340F1">
        <w:rPr>
          <w:sz w:val="24"/>
          <w:szCs w:val="36"/>
        </w:rPr>
        <w:t xml:space="preserve"> </w:t>
      </w:r>
      <w:r w:rsidRPr="008340F1">
        <w:rPr>
          <w:b w:val="0"/>
          <w:bCs/>
          <w:sz w:val="24"/>
          <w:szCs w:val="36"/>
        </w:rPr>
        <w:t>Development Plan Document 2012- 2027 (The Core Strategy) was adopted by the City Council on the 11</w:t>
      </w:r>
      <w:r w:rsidRPr="008340F1">
        <w:rPr>
          <w:b w:val="0"/>
          <w:bCs/>
          <w:sz w:val="24"/>
          <w:szCs w:val="36"/>
          <w:vertAlign w:val="superscript"/>
        </w:rPr>
        <w:t>th</w:t>
      </w:r>
      <w:r w:rsidRPr="008340F1">
        <w:rPr>
          <w:b w:val="0"/>
          <w:bCs/>
          <w:sz w:val="24"/>
          <w:szCs w:val="36"/>
        </w:rPr>
        <w:t xml:space="preserve"> of July 2012, it is a key document for the local plan which provides a framework that planning applications are assessed against.</w:t>
      </w:r>
      <w:r w:rsidRPr="008340F1">
        <w:rPr>
          <w:sz w:val="24"/>
          <w:szCs w:val="36"/>
        </w:rPr>
        <w:t xml:space="preserve"> </w:t>
      </w:r>
    </w:p>
    <w:p w14:paraId="756ED9F0" w14:textId="77777777" w:rsidR="008340F1" w:rsidRPr="008340F1" w:rsidRDefault="008340F1" w:rsidP="008340F1">
      <w:pPr>
        <w:pStyle w:val="Heading1"/>
        <w:rPr>
          <w:b w:val="0"/>
          <w:bCs/>
          <w:sz w:val="24"/>
          <w:szCs w:val="36"/>
        </w:rPr>
      </w:pPr>
      <w:r w:rsidRPr="008340F1">
        <w:rPr>
          <w:b w:val="0"/>
          <w:bCs/>
          <w:sz w:val="24"/>
          <w:szCs w:val="36"/>
        </w:rPr>
        <w:t xml:space="preserve">Policy DM1- Development Management </w:t>
      </w:r>
    </w:p>
    <w:p w14:paraId="515BD43C" w14:textId="5346F371" w:rsidR="008340F1" w:rsidRPr="009B0E87" w:rsidRDefault="008340F1" w:rsidP="009B0E87">
      <w:pPr>
        <w:pStyle w:val="Heading1"/>
        <w:rPr>
          <w:b w:val="0"/>
          <w:bCs/>
          <w:sz w:val="24"/>
          <w:szCs w:val="36"/>
        </w:rPr>
      </w:pPr>
      <w:r w:rsidRPr="008340F1">
        <w:rPr>
          <w:b w:val="0"/>
          <w:bCs/>
          <w:sz w:val="24"/>
          <w:szCs w:val="36"/>
        </w:rPr>
        <w:t>Policy SP1- Spatial Principles</w:t>
      </w:r>
    </w:p>
    <w:p w14:paraId="699446A6" w14:textId="63F6149C" w:rsidR="008340F1" w:rsidRPr="008340F1" w:rsidRDefault="008340F1" w:rsidP="008340F1">
      <w:pPr>
        <w:pStyle w:val="Heading1"/>
        <w:rPr>
          <w:sz w:val="24"/>
          <w:szCs w:val="36"/>
        </w:rPr>
      </w:pPr>
      <w:r w:rsidRPr="008340F1">
        <w:rPr>
          <w:bCs/>
          <w:sz w:val="24"/>
          <w:szCs w:val="36"/>
          <w:u w:val="single"/>
        </w:rPr>
        <w:t>Unitary Development Plan (UDP)-</w:t>
      </w:r>
      <w:r w:rsidRPr="008340F1">
        <w:rPr>
          <w:sz w:val="24"/>
          <w:szCs w:val="36"/>
        </w:rPr>
        <w:t xml:space="preserve"> </w:t>
      </w:r>
      <w:r w:rsidRPr="008340F1">
        <w:rPr>
          <w:b w:val="0"/>
          <w:bCs/>
          <w:sz w:val="24"/>
          <w:szCs w:val="36"/>
        </w:rPr>
        <w:t>The UDP has been superseded by the Core Strategy Development Plan, but certain policies are still considered relevance:</w:t>
      </w:r>
    </w:p>
    <w:p w14:paraId="2C64381C" w14:textId="7281875A" w:rsidR="008340F1" w:rsidRPr="009B0E87" w:rsidRDefault="008340F1" w:rsidP="008340F1">
      <w:pPr>
        <w:pStyle w:val="Heading1"/>
        <w:rPr>
          <w:b w:val="0"/>
          <w:bCs/>
          <w:sz w:val="24"/>
          <w:szCs w:val="36"/>
        </w:rPr>
      </w:pPr>
      <w:r w:rsidRPr="008340F1">
        <w:rPr>
          <w:b w:val="0"/>
          <w:bCs/>
          <w:sz w:val="24"/>
          <w:szCs w:val="36"/>
        </w:rPr>
        <w:t>-Policy DC15- Advertisements, Hoardings and Posters</w:t>
      </w:r>
    </w:p>
    <w:p w14:paraId="1BC95507" w14:textId="77777777" w:rsidR="008340F1" w:rsidRPr="008340F1" w:rsidRDefault="008340F1" w:rsidP="008340F1">
      <w:pPr>
        <w:pStyle w:val="Heading1"/>
        <w:rPr>
          <w:sz w:val="24"/>
          <w:szCs w:val="36"/>
        </w:rPr>
      </w:pPr>
      <w:r w:rsidRPr="008340F1">
        <w:rPr>
          <w:bCs/>
          <w:sz w:val="24"/>
          <w:szCs w:val="36"/>
          <w:u w:val="single"/>
        </w:rPr>
        <w:t>The National Planning Policy Framework (August 2026)-</w:t>
      </w:r>
      <w:r w:rsidRPr="008340F1">
        <w:rPr>
          <w:sz w:val="24"/>
          <w:szCs w:val="36"/>
        </w:rPr>
        <w:t xml:space="preserve"> </w:t>
      </w:r>
      <w:r w:rsidRPr="008340F1">
        <w:rPr>
          <w:b w:val="0"/>
          <w:bCs/>
          <w:sz w:val="24"/>
          <w:szCs w:val="36"/>
        </w:rPr>
        <w:t>The Government’s new national planning policies and how they are to be implemented through local authorities.</w:t>
      </w:r>
      <w:r w:rsidRPr="008340F1">
        <w:rPr>
          <w:sz w:val="24"/>
          <w:szCs w:val="36"/>
        </w:rPr>
        <w:t xml:space="preserve">  </w:t>
      </w:r>
    </w:p>
    <w:p w14:paraId="15CFB2A1" w14:textId="77777777" w:rsidR="008340F1" w:rsidRPr="008340F1" w:rsidRDefault="008340F1" w:rsidP="008340F1">
      <w:pPr>
        <w:pStyle w:val="Heading1"/>
        <w:rPr>
          <w:sz w:val="24"/>
          <w:szCs w:val="36"/>
          <w:u w:val="single"/>
        </w:rPr>
      </w:pPr>
    </w:p>
    <w:p w14:paraId="5C049018" w14:textId="77777777" w:rsidR="008340F1" w:rsidRPr="008340F1" w:rsidRDefault="008340F1" w:rsidP="008340F1">
      <w:pPr>
        <w:pStyle w:val="Heading1"/>
        <w:rPr>
          <w:b w:val="0"/>
          <w:bCs/>
          <w:sz w:val="24"/>
          <w:szCs w:val="36"/>
        </w:rPr>
      </w:pPr>
      <w:r w:rsidRPr="008340F1">
        <w:rPr>
          <w:b w:val="0"/>
          <w:bCs/>
          <w:sz w:val="24"/>
          <w:szCs w:val="36"/>
        </w:rPr>
        <w:t xml:space="preserve">Policy DP3- Key principles for well-designed places </w:t>
      </w:r>
    </w:p>
    <w:p w14:paraId="7333E858" w14:textId="6E326A00" w:rsidR="008340F1" w:rsidRPr="009B0E87" w:rsidRDefault="008340F1" w:rsidP="008340F1">
      <w:pPr>
        <w:pStyle w:val="Heading1"/>
        <w:rPr>
          <w:b w:val="0"/>
          <w:bCs/>
          <w:sz w:val="24"/>
          <w:szCs w:val="36"/>
        </w:rPr>
      </w:pPr>
      <w:r w:rsidRPr="008340F1">
        <w:rPr>
          <w:b w:val="0"/>
          <w:bCs/>
          <w:sz w:val="24"/>
          <w:szCs w:val="36"/>
        </w:rPr>
        <w:t xml:space="preserve">Policy S3: Presumption in favour of sustainable development </w:t>
      </w:r>
    </w:p>
    <w:p w14:paraId="35191DCC" w14:textId="1F1967D4" w:rsidR="008340F1" w:rsidRPr="009B0E87" w:rsidRDefault="008340F1" w:rsidP="008340F1">
      <w:pPr>
        <w:pStyle w:val="Heading1"/>
        <w:rPr>
          <w:bCs/>
          <w:sz w:val="24"/>
          <w:szCs w:val="36"/>
          <w:u w:val="single"/>
        </w:rPr>
      </w:pPr>
      <w:r w:rsidRPr="008340F1">
        <w:rPr>
          <w:bCs/>
          <w:sz w:val="24"/>
          <w:szCs w:val="36"/>
          <w:u w:val="single"/>
        </w:rPr>
        <w:t>Other Material Considerations:</w:t>
      </w:r>
    </w:p>
    <w:p w14:paraId="1F98F5C6" w14:textId="77777777" w:rsidR="008340F1" w:rsidRPr="008340F1" w:rsidRDefault="008340F1" w:rsidP="008340F1">
      <w:pPr>
        <w:pStyle w:val="Heading1"/>
        <w:rPr>
          <w:bCs/>
          <w:sz w:val="24"/>
          <w:szCs w:val="36"/>
        </w:rPr>
      </w:pPr>
      <w:r w:rsidRPr="008340F1">
        <w:rPr>
          <w:bCs/>
          <w:sz w:val="24"/>
          <w:szCs w:val="36"/>
        </w:rPr>
        <w:t>Oxford Road Corridor Strategic Regeneration Framework Guidance (2019)</w:t>
      </w:r>
    </w:p>
    <w:p w14:paraId="4A197E87" w14:textId="77777777" w:rsidR="008340F1" w:rsidRPr="008340F1" w:rsidRDefault="008340F1" w:rsidP="008340F1">
      <w:pPr>
        <w:pStyle w:val="Heading1"/>
        <w:rPr>
          <w:b w:val="0"/>
          <w:bCs/>
          <w:sz w:val="24"/>
          <w:szCs w:val="36"/>
        </w:rPr>
      </w:pPr>
      <w:r w:rsidRPr="008340F1">
        <w:rPr>
          <w:b w:val="0"/>
          <w:bCs/>
          <w:sz w:val="24"/>
          <w:szCs w:val="36"/>
        </w:rPr>
        <w:t xml:space="preserve">Sets out how growth will be supported by key place-making objections in terms of public realm, diversifying and uplifting the quality and range of uses around retail, food, drink, cultural sport and housing. </w:t>
      </w:r>
    </w:p>
    <w:p w14:paraId="4F17D377" w14:textId="77777777" w:rsidR="008340F1" w:rsidRPr="008340F1" w:rsidRDefault="008340F1" w:rsidP="008340F1">
      <w:pPr>
        <w:pStyle w:val="Heading1"/>
        <w:rPr>
          <w:sz w:val="24"/>
          <w:szCs w:val="36"/>
        </w:rPr>
      </w:pPr>
    </w:p>
    <w:p w14:paraId="60184E93" w14:textId="77777777" w:rsidR="008340F1" w:rsidRPr="008340F1" w:rsidRDefault="008340F1" w:rsidP="008340F1">
      <w:pPr>
        <w:pStyle w:val="Heading1"/>
        <w:rPr>
          <w:bCs/>
          <w:sz w:val="24"/>
          <w:szCs w:val="36"/>
        </w:rPr>
      </w:pPr>
      <w:r w:rsidRPr="008340F1">
        <w:rPr>
          <w:bCs/>
          <w:sz w:val="24"/>
          <w:szCs w:val="36"/>
        </w:rPr>
        <w:lastRenderedPageBreak/>
        <w:t>Former BBC Site Strategic Regeneration Framework Guidance (2013)</w:t>
      </w:r>
    </w:p>
    <w:p w14:paraId="3E680DF1" w14:textId="10417937" w:rsidR="008340F1" w:rsidRPr="009B0E87" w:rsidRDefault="008340F1" w:rsidP="008340F1">
      <w:pPr>
        <w:pStyle w:val="Heading1"/>
        <w:rPr>
          <w:b w:val="0"/>
          <w:bCs/>
          <w:sz w:val="24"/>
          <w:szCs w:val="36"/>
        </w:rPr>
      </w:pPr>
      <w:r w:rsidRPr="008340F1">
        <w:rPr>
          <w:b w:val="0"/>
          <w:bCs/>
          <w:sz w:val="24"/>
          <w:szCs w:val="36"/>
        </w:rPr>
        <w:t xml:space="preserve">Sets out a guide to the future redevelopment of the former BBC site and adjoining land to ensure it becomes an economic priority and a key site for the Manchester corridor delivering high-quality regeneration on the site. </w:t>
      </w:r>
    </w:p>
    <w:p w14:paraId="38EBA5AD" w14:textId="77777777" w:rsidR="008340F1" w:rsidRPr="008340F1" w:rsidRDefault="008340F1" w:rsidP="008340F1">
      <w:pPr>
        <w:pStyle w:val="Heading1"/>
        <w:rPr>
          <w:bCs/>
          <w:sz w:val="24"/>
          <w:szCs w:val="36"/>
        </w:rPr>
      </w:pPr>
      <w:r w:rsidRPr="008340F1">
        <w:rPr>
          <w:bCs/>
          <w:sz w:val="24"/>
          <w:szCs w:val="36"/>
        </w:rPr>
        <w:t>Greater Manchester’s Streets for All Design Guide (2023)</w:t>
      </w:r>
    </w:p>
    <w:p w14:paraId="5ED59133" w14:textId="09A441FE" w:rsidR="008340F1" w:rsidRPr="008340F1" w:rsidRDefault="008340F1" w:rsidP="00EF3E10">
      <w:pPr>
        <w:pStyle w:val="Heading1"/>
        <w:rPr>
          <w:b w:val="0"/>
          <w:bCs/>
          <w:sz w:val="24"/>
          <w:szCs w:val="36"/>
        </w:rPr>
      </w:pPr>
      <w:r w:rsidRPr="008340F1">
        <w:rPr>
          <w:b w:val="0"/>
          <w:bCs/>
          <w:sz w:val="24"/>
          <w:szCs w:val="36"/>
        </w:rPr>
        <w:t>Sets out guidance on how Greater Manchester can achieve an inclusive and attractive walking and wheeling environment.</w:t>
      </w:r>
    </w:p>
    <w:p w14:paraId="7792649D" w14:textId="4421C6D4" w:rsidR="00EF3E10" w:rsidRDefault="00EF3E10" w:rsidP="00EF3E10">
      <w:pPr>
        <w:pStyle w:val="Heading1"/>
      </w:pPr>
      <w:r>
        <w:t>Assessment</w:t>
      </w:r>
    </w:p>
    <w:p w14:paraId="3AE07B60" w14:textId="25421047" w:rsidR="00902F41" w:rsidRPr="00902F41" w:rsidRDefault="00902F41" w:rsidP="00902F41">
      <w:r>
        <w:t xml:space="preserve">In the case of this application, the principle of the proposal is considered unacceptable and cannot be supported as it conflicts with the development plan policies and associated guidance listed in the preceding section. It is considered that the insertion of a digital advertisement display would have an unduly harmful impact on the visual amenity of the area. </w:t>
      </w:r>
    </w:p>
    <w:p w14:paraId="4ED6D17B" w14:textId="3BC3FF6F" w:rsidR="008340F1" w:rsidRDefault="008340F1" w:rsidP="006F7F26">
      <w:pPr>
        <w:pStyle w:val="Heading1"/>
        <w:rPr>
          <w:rFonts w:eastAsia="Times New Roman"/>
        </w:rPr>
      </w:pPr>
      <w:r w:rsidRPr="00ED76FF">
        <w:rPr>
          <w:rFonts w:eastAsia="Times New Roman"/>
        </w:rPr>
        <w:t>Visual Amenity</w:t>
      </w:r>
      <w:r>
        <w:rPr>
          <w:rFonts w:eastAsia="Times New Roman"/>
        </w:rPr>
        <w:t xml:space="preserve"> </w:t>
      </w:r>
    </w:p>
    <w:p w14:paraId="14A77CE9" w14:textId="128236B8" w:rsidR="00BC7B61" w:rsidRPr="00BC7B61" w:rsidRDefault="00BC7B61" w:rsidP="00BC7B61">
      <w:r>
        <w:t>Existing signage on the site has a clear purpose to aid wayfinding and mark a key entrance route into the neighbourhood. These signs are uniformed in appearance through the use of their bespoke design and wider palate of materials</w:t>
      </w:r>
      <w:r w:rsidR="00ED76FF">
        <w:t>,</w:t>
      </w:r>
      <w:r>
        <w:t xml:space="preserve"> they create clear visual linkages across the site, contributing to the place making of the site. The proposed digital totems design is not considered to be as detailed or reflect the character of Circle Square due to its standard materials and </w:t>
      </w:r>
      <w:r w:rsidR="00ED76FF">
        <w:t>unrelated</w:t>
      </w:r>
      <w:r>
        <w:t xml:space="preserve"> </w:t>
      </w:r>
      <w:r w:rsidR="00ED76FF">
        <w:t>logos</w:t>
      </w:r>
      <w:r>
        <w:t xml:space="preserve"> to the site. The proposed offers a standard commercial advertising unit that would not provide any characteristic elements that would positively contribute towards the quality of the visual amenity within Circle Square. Should comparison be made to the existing structure at the site location, this does not benefit from consent and therefore cannot be considered a precedent for works. </w:t>
      </w:r>
    </w:p>
    <w:p w14:paraId="4D0AEF8B" w14:textId="786FA911" w:rsidR="00BC7B61" w:rsidRDefault="00BC7B61" w:rsidP="00BC7B61"/>
    <w:p w14:paraId="4BD7F0DC" w14:textId="2879FA33" w:rsidR="00366394" w:rsidRDefault="00366394" w:rsidP="00BC7B61">
      <w:r>
        <w:t xml:space="preserve">The proposed would introduce an additional advert to the location and although the surrounding area is considered to be commercial in nature, the insertion of an LED advertisement display in this location would result in unnecessary visual clutter and the proliferation of advertising in the area. Policy 15 of the UDP states that the Local Planning Authority should take into account the effects on the visual amenity and the scope for adverts to make a positive contribution to the locality, amongst other factors. The scale of the digital display is considered to be </w:t>
      </w:r>
      <w:r w:rsidR="00C159CC">
        <w:t xml:space="preserve">disproportionately </w:t>
      </w:r>
      <w:r>
        <w:t>large, with 1.2m width, 2.2m in height and the digital display would measure 1m in width and 1.8m in length, this would result in the insertion of an obtrusive feature along the pavement</w:t>
      </w:r>
      <w:r w:rsidR="00C159CC">
        <w:t xml:space="preserve"> that would contribute to the visual clutter of the street scene. </w:t>
      </w:r>
    </w:p>
    <w:p w14:paraId="6427106D" w14:textId="77777777" w:rsidR="00ED76FF" w:rsidRDefault="00ED76FF" w:rsidP="00BC7B61"/>
    <w:p w14:paraId="37073100" w14:textId="601A1F86" w:rsidR="00ED76FF" w:rsidRDefault="00ED76FF" w:rsidP="00BC7B61">
      <w:r>
        <w:t xml:space="preserve">The insertion of the double-sided LED digital display screen in this location would be contrary to Policy JP-P1 of the Places for Everyone Joint Development Document as the proposed would distract and take away from the existing landscape features of Circle Square. Policy JP-P1 states that development proposals should be consistent with ‘incorporating high quality and well managed green infrastructure and quality public realm.’ This would also undermine the Former BBC Strategy Development Framework (BBC SRF) which emphasises the importance of maintaining [the] ‘general attractiveness of the site.’ The introduction of an advertisement in this location is considered to diminish the general attractiveness of the site. </w:t>
      </w:r>
    </w:p>
    <w:p w14:paraId="6ACE76A7" w14:textId="77777777" w:rsidR="00C159CC" w:rsidRDefault="00C159CC" w:rsidP="00BC7B61"/>
    <w:p w14:paraId="708B2BC9" w14:textId="0B43DBB6" w:rsidR="00C159CC" w:rsidRDefault="00C159CC" w:rsidP="00BC7B61">
      <w:r>
        <w:t xml:space="preserve">The proposal is considered to undermine the council’s current efforts to remove unnecessary street clutter from within the City Centre and would appear out of context to the street. The ‘Streets for All Design Guide’ seeks to avoid unnecessary street clutter. The free-standing sign would be visually obtrusive and constitute of a bulky, dominant item due to its height, width and </w:t>
      </w:r>
      <w:r>
        <w:lastRenderedPageBreak/>
        <w:t xml:space="preserve">large advertisement panels on both sides. Therefore, the proposal would be contrary to Policy DP3 of the NPPF (2026) as it would not integrate or enhance its surroundings nor would it respond successfully to its context. </w:t>
      </w:r>
    </w:p>
    <w:p w14:paraId="3CA91827" w14:textId="255ACF9B" w:rsidR="00366394" w:rsidRDefault="00366394" w:rsidP="00BC7B61">
      <w:r>
        <w:t xml:space="preserve"> </w:t>
      </w:r>
    </w:p>
    <w:p w14:paraId="566137BE" w14:textId="78ED77C8" w:rsidR="00BC7B61" w:rsidRDefault="00C159CC" w:rsidP="00BC7B61">
      <w:r>
        <w:t>It is noted that there was consent granted for a digital and directional totem approved within Circle Square under advertisement consent, 127455/AOH/2020, however that digital totem is in-keeping with the place making design and does not display commercial advertising, only providing information about activities and facilities within the neighbourhood. Additionally, this totem is smaller in scale (in width and screen size) and provides continuous wayfinding and directional benefits to visitors of the site</w:t>
      </w:r>
      <w:r w:rsidR="00ED76FF">
        <w:t xml:space="preserve">. </w:t>
      </w:r>
    </w:p>
    <w:p w14:paraId="391DFDFD" w14:textId="77777777" w:rsidR="00ED76FF" w:rsidRDefault="00ED76FF" w:rsidP="00BC7B61"/>
    <w:p w14:paraId="422972B8" w14:textId="61E6DD3A" w:rsidR="00ED76FF" w:rsidRDefault="00ED76FF" w:rsidP="00BC7B61">
      <w:r>
        <w:t xml:space="preserve">In consideration of the above, the proposal would be visually detrimental to Circle Square and therefore contrary to the provisions of Town and Country Planning (Control of Advertisement) (England) Regulations 2007, Policies JP-P1 of the Places for Everyone Plan, Policies SP1 and DM1 of the Manchester Core Strategy (2012), saved Policies DC15 of the Unitary Development Plan for the City of Manchester (1995) and Policy DP3 and S3 of the National Planning Policy Framework (2026). </w:t>
      </w:r>
    </w:p>
    <w:p w14:paraId="36B35BCB" w14:textId="77777777" w:rsidR="008340F1" w:rsidRDefault="008340F1" w:rsidP="008340F1"/>
    <w:p w14:paraId="2585ADE9" w14:textId="7653FE66" w:rsidR="008340F1" w:rsidRDefault="008340F1" w:rsidP="008340F1">
      <w:pPr>
        <w:rPr>
          <w:b/>
          <w:bCs/>
          <w:sz w:val="28"/>
          <w:szCs w:val="28"/>
        </w:rPr>
      </w:pPr>
      <w:r w:rsidRPr="008340F1">
        <w:rPr>
          <w:b/>
          <w:bCs/>
          <w:sz w:val="28"/>
          <w:szCs w:val="28"/>
        </w:rPr>
        <w:t>Public Safety</w:t>
      </w:r>
    </w:p>
    <w:p w14:paraId="100292E3" w14:textId="3031BA12" w:rsidR="008340F1" w:rsidRPr="008340F1" w:rsidRDefault="008340F1" w:rsidP="008340F1">
      <w:r>
        <w:t xml:space="preserve">Although the proposals siting would create an increased obstacle and contributes to the impression of clutter, it is not considered that there is evidence of a public safety impact for the pedestrians in order to warrant a reason for refusal on these grounds. </w:t>
      </w:r>
    </w:p>
    <w:p w14:paraId="7243E645" w14:textId="423037BB" w:rsidR="006F7F26" w:rsidRPr="006F7F26" w:rsidRDefault="006F7F26" w:rsidP="006F7F26">
      <w:pPr>
        <w:pStyle w:val="Heading1"/>
        <w:rPr>
          <w:rFonts w:eastAsia="Times New Roman"/>
        </w:rPr>
      </w:pPr>
      <w:r w:rsidRPr="006F7F26">
        <w:rPr>
          <w:rFonts w:eastAsia="Times New Roman"/>
        </w:rPr>
        <w:t>Other Legislative Requirements</w:t>
      </w:r>
    </w:p>
    <w:p w14:paraId="31E5E0D9" w14:textId="77777777" w:rsidR="006F7F26" w:rsidRPr="006F7F26" w:rsidRDefault="006F7F26" w:rsidP="006F7F26">
      <w:pPr>
        <w:pStyle w:val="Heading2"/>
        <w:rPr>
          <w:rFonts w:eastAsia="Times New Roman"/>
        </w:rPr>
      </w:pPr>
      <w:r w:rsidRPr="006F7F26">
        <w:rPr>
          <w:rFonts w:eastAsia="Times New Roman"/>
        </w:rPr>
        <w:t>Equality Act 2010</w:t>
      </w:r>
    </w:p>
    <w:p w14:paraId="5AEFC15E"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ADA1980" w14:textId="77777777" w:rsidR="006F7F26" w:rsidRPr="006F7F26" w:rsidRDefault="006F7F26" w:rsidP="006F7F26">
      <w:pPr>
        <w:rPr>
          <w:rFonts w:eastAsia="Times New Roman" w:cs="Times New Roman"/>
          <w:kern w:val="0"/>
          <w:szCs w:val="22"/>
          <w14:ligatures w14:val="none"/>
        </w:rPr>
      </w:pPr>
    </w:p>
    <w:p w14:paraId="5C1121FC"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8519C43"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DE47668" w14:textId="77777777" w:rsidR="006F7F26" w:rsidRPr="006F7F26" w:rsidRDefault="006F7F26" w:rsidP="006F7F26">
      <w:pPr>
        <w:rPr>
          <w:rFonts w:eastAsia="Times New Roman" w:cs="Arial"/>
          <w:kern w:val="0"/>
          <w14:ligatures w14:val="none"/>
        </w:rPr>
      </w:pPr>
    </w:p>
    <w:p w14:paraId="109F32E0"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BB3FEE1" w14:textId="77777777" w:rsidR="001E1003" w:rsidRDefault="001E1003" w:rsidP="006F7F26"/>
    <w:p w14:paraId="749DD1C9" w14:textId="77777777" w:rsidR="001E1003" w:rsidRDefault="001E1003" w:rsidP="006F7F26"/>
    <w:p w14:paraId="20E76314" w14:textId="77777777" w:rsidR="008340F1" w:rsidRDefault="00D66B55" w:rsidP="008340F1">
      <w:pPr>
        <w:pStyle w:val="Heading1"/>
      </w:pPr>
      <w:r>
        <w:lastRenderedPageBreak/>
        <w:t>Conclusion</w:t>
      </w:r>
    </w:p>
    <w:p w14:paraId="0E0A12D7" w14:textId="77777777" w:rsidR="002D0F54" w:rsidRDefault="002D0F54" w:rsidP="002D0F54"/>
    <w:p w14:paraId="0A127516" w14:textId="68E361A8" w:rsidR="002D0F54" w:rsidRDefault="002D0F54" w:rsidP="002D0F54">
      <w:r>
        <w:t xml:space="preserve">Any public safety concerns of the proposed digital advertising displays are not significant enough to refuse on public safety grounds. </w:t>
      </w:r>
    </w:p>
    <w:p w14:paraId="42398A31" w14:textId="77777777" w:rsidR="002D0F54" w:rsidRDefault="002D0F54" w:rsidP="002D0F54"/>
    <w:p w14:paraId="61D6207B" w14:textId="64941C3C" w:rsidR="002D0F54" w:rsidRPr="002D0F54" w:rsidRDefault="002D0F54" w:rsidP="002D0F54">
      <w:r>
        <w:t>However, due to a combination of its height, width, materiality, illumination</w:t>
      </w:r>
      <w:r w:rsidR="001E1003">
        <w:t xml:space="preserve"> and appearance, the proposed digital advert would represent a visually obtrusive feature on the pavement. Therefore, the proposed digital advert is refused on visual amenity grounds, as the proposal is contrary to the Town and Country Planning (Control of Advertisement) (England) Regulations 2007, Policies JP-P1 of the Places for Everyone Plan, Policies SP1 and DM1 of the Manchester Core Strategy (2012), saved Policies DC15 of the Unitary Development Plan for the City of Manchester (1995) and Policy DP3 and S3 of the National Planning Policy Framework (2026). </w:t>
      </w:r>
    </w:p>
    <w:p w14:paraId="1E239573" w14:textId="210C0523" w:rsidR="00EF3E10" w:rsidRPr="001E1003" w:rsidRDefault="008340F1" w:rsidP="008340F1">
      <w:pPr>
        <w:pStyle w:val="Heading1"/>
        <w:rPr>
          <w:b w:val="0"/>
          <w:bCs/>
          <w:sz w:val="24"/>
          <w:szCs w:val="36"/>
        </w:rPr>
      </w:pPr>
      <w:r w:rsidRPr="008340F1">
        <w:rPr>
          <w:b w:val="0"/>
          <w:bCs/>
          <w:sz w:val="24"/>
          <w:szCs w:val="36"/>
        </w:rPr>
        <w:t xml:space="preserve"> </w:t>
      </w:r>
    </w:p>
    <w:p w14:paraId="56292A8D" w14:textId="6F7260B3" w:rsidR="00C62A32" w:rsidRDefault="005C02B9" w:rsidP="00B75EB9">
      <w:pPr>
        <w:spacing w:after="120"/>
      </w:pPr>
      <w:r w:rsidRPr="005C02B9">
        <w:rPr>
          <w:rStyle w:val="Heading2Char"/>
        </w:rPr>
        <w:t>Recommendation</w:t>
      </w:r>
      <w:r>
        <w:t xml:space="preserve">: </w:t>
      </w:r>
      <w:r w:rsidR="008340F1">
        <w:rPr>
          <w:b/>
          <w:bCs/>
        </w:rPr>
        <w:t xml:space="preserve">Refuse </w:t>
      </w:r>
    </w:p>
    <w:tbl>
      <w:tblPr>
        <w:tblStyle w:val="TableGrid"/>
        <w:tblW w:w="9781" w:type="dxa"/>
        <w:tblLayout w:type="fixed"/>
        <w:tblLook w:val="04A0" w:firstRow="1" w:lastRow="0" w:firstColumn="1" w:lastColumn="0" w:noHBand="0" w:noVBand="1"/>
      </w:tblPr>
      <w:tblGrid>
        <w:gridCol w:w="9781"/>
      </w:tblGrid>
      <w:tr w:rsidR="006B1081" w14:paraId="7242E4CE" w14:textId="77777777" w:rsidTr="00274422">
        <w:tc>
          <w:tcPr>
            <w:tcW w:w="9781" w:type="dxa"/>
            <w:tcBorders>
              <w:top w:val="nil"/>
              <w:left w:val="nil"/>
              <w:bottom w:val="nil"/>
              <w:right w:val="nil"/>
            </w:tcBorders>
            <w:tcMar>
              <w:left w:w="28" w:type="dxa"/>
              <w:right w:w="28" w:type="dxa"/>
            </w:tcMar>
          </w:tcPr>
          <w:p w14:paraId="1AB37958" w14:textId="77777777" w:rsidR="00A40D82" w:rsidRPr="00A40D82" w:rsidRDefault="00A40D82" w:rsidP="00A40D82"/>
        </w:tc>
      </w:tr>
    </w:tbl>
    <w:p w14:paraId="6D4ED0C9"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057603F5" w14:textId="77777777" w:rsidTr="00274422">
        <w:tc>
          <w:tcPr>
            <w:tcW w:w="9781" w:type="dxa"/>
            <w:tcBorders>
              <w:top w:val="nil"/>
              <w:left w:val="nil"/>
              <w:bottom w:val="nil"/>
              <w:right w:val="nil"/>
            </w:tcBorders>
            <w:tcMar>
              <w:left w:w="28" w:type="dxa"/>
              <w:right w:w="28" w:type="dxa"/>
            </w:tcMar>
          </w:tcPr>
          <w:p w14:paraId="2C1D91FB" w14:textId="77777777" w:rsidR="00467C0E" w:rsidRPr="00467C0E" w:rsidRDefault="00467C0E" w:rsidP="00467C0E"/>
        </w:tc>
      </w:tr>
    </w:tbl>
    <w:p w14:paraId="1B828335"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3C89E0CF" w14:textId="77777777" w:rsidTr="00274422">
        <w:tc>
          <w:tcPr>
            <w:tcW w:w="9781" w:type="dxa"/>
            <w:tcBorders>
              <w:top w:val="nil"/>
              <w:left w:val="nil"/>
              <w:bottom w:val="nil"/>
              <w:right w:val="nil"/>
            </w:tcBorders>
            <w:tcMar>
              <w:left w:w="28" w:type="dxa"/>
              <w:right w:w="28" w:type="dxa"/>
            </w:tcMar>
          </w:tcPr>
          <w:p w14:paraId="78F03A61" w14:textId="77777777" w:rsidR="0070357C" w:rsidRDefault="0070357C" w:rsidP="006175C6">
            <w:pPr>
              <w:pStyle w:val="Heading2"/>
            </w:pPr>
            <w:r>
              <w:t>Reasons for refusal</w:t>
            </w:r>
          </w:p>
          <w:tbl>
            <w:tblPr>
              <w:tblStyle w:val="TableGrid"/>
              <w:tblW w:w="0" w:type="auto"/>
              <w:tblLook w:val="04A0" w:firstRow="1" w:lastRow="0" w:firstColumn="1" w:lastColumn="0" w:noHBand="0" w:noVBand="1"/>
            </w:tblPr>
            <w:tblGrid>
              <w:gridCol w:w="532"/>
              <w:gridCol w:w="9183"/>
            </w:tblGrid>
            <w:tr w:rsidR="00467C0E" w14:paraId="254BDA9B" w14:textId="77777777" w:rsidTr="00274422">
              <w:tc>
                <w:tcPr>
                  <w:tcW w:w="532" w:type="dxa"/>
                  <w:tcBorders>
                    <w:top w:val="nil"/>
                    <w:left w:val="nil"/>
                    <w:bottom w:val="nil"/>
                    <w:right w:val="nil"/>
                  </w:tcBorders>
                </w:tcPr>
                <w:p w14:paraId="32FC88EF" w14:textId="11F4A36C" w:rsidR="00467C0E" w:rsidRDefault="00467C0E" w:rsidP="00467C0E"/>
              </w:tc>
              <w:tc>
                <w:tcPr>
                  <w:tcW w:w="9183" w:type="dxa"/>
                  <w:tcBorders>
                    <w:top w:val="nil"/>
                    <w:left w:val="nil"/>
                    <w:bottom w:val="nil"/>
                    <w:right w:val="nil"/>
                  </w:tcBorders>
                </w:tcPr>
                <w:p w14:paraId="1D1E0FAB" w14:textId="712E2B64" w:rsidR="00467C0E" w:rsidRDefault="00467C0E" w:rsidP="00467C0E"/>
              </w:tc>
            </w:tr>
          </w:tbl>
          <w:p w14:paraId="6A0E2AB9" w14:textId="77777777" w:rsidR="00467C0E" w:rsidRPr="00467C0E" w:rsidRDefault="00467C0E" w:rsidP="00467C0E"/>
        </w:tc>
      </w:tr>
    </w:tbl>
    <w:p w14:paraId="5DC6A53D" w14:textId="4DEC1274" w:rsidR="008340F1" w:rsidRPr="008340F1" w:rsidRDefault="008340F1" w:rsidP="008340F1">
      <w:r w:rsidRPr="008340F1">
        <w:t xml:space="preserve">The proposal would result in an unduly harmful impact on visual amenity </w:t>
      </w:r>
      <w:r w:rsidR="00ED76FF">
        <w:t xml:space="preserve">to the street scene and </w:t>
      </w:r>
      <w:r w:rsidRPr="008340F1">
        <w:t>Circle Square due to its siting, design, appearance and means of illumination and would form an obtrusive and dominant feature</w:t>
      </w:r>
      <w:r w:rsidR="00ED76FF">
        <w:t xml:space="preserve">. </w:t>
      </w:r>
      <w:r w:rsidRPr="008340F1">
        <w:t>It would create visual clutter which would be detrimental to the quality of the character of the immediate area, visual amenity of the local context and pedestrian experience. The proposal therefore is contrary to the provisions of Town and Country Planning (Control of Advertisement) (England) Regulations 2007, Policies JP-P1, of the Places for Everyone Plan, Policies SP1 and DM1 of the Manchester Core Strategy (2012), saved Policies DC15.1, DC15.2 of the Unitary Development Plan for the City of Manchester (1995) and Policy DP3 and S3 of the National Planning Policy Framework.</w:t>
      </w:r>
    </w:p>
    <w:p w14:paraId="28BDF7D8" w14:textId="77777777" w:rsidR="008340F1" w:rsidRPr="008340F1" w:rsidRDefault="008340F1" w:rsidP="008340F1"/>
    <w:p w14:paraId="10824ABB" w14:textId="1AD9D56A" w:rsidR="008340F1" w:rsidRPr="008340F1" w:rsidRDefault="008340F1" w:rsidP="008340F1"/>
    <w:p w14:paraId="324C622E"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0174" w14:textId="77777777" w:rsidR="00FE7F7E" w:rsidRDefault="00FE7F7E" w:rsidP="00902F41">
      <w:r>
        <w:separator/>
      </w:r>
    </w:p>
  </w:endnote>
  <w:endnote w:type="continuationSeparator" w:id="0">
    <w:p w14:paraId="639E87D1" w14:textId="77777777" w:rsidR="00FE7F7E" w:rsidRDefault="00FE7F7E" w:rsidP="0090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C8585" w14:textId="77777777" w:rsidR="00FE7F7E" w:rsidRDefault="00FE7F7E" w:rsidP="00902F41">
      <w:r>
        <w:separator/>
      </w:r>
    </w:p>
  </w:footnote>
  <w:footnote w:type="continuationSeparator" w:id="0">
    <w:p w14:paraId="4BEDB477" w14:textId="77777777" w:rsidR="00FE7F7E" w:rsidRDefault="00FE7F7E" w:rsidP="00902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4"/>
  </w:num>
  <w:num w:numId="5" w16cid:durableId="257520763">
    <w:abstractNumId w:val="7"/>
  </w:num>
  <w:num w:numId="6" w16cid:durableId="16660065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63821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65823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66F2C"/>
    <w:rsid w:val="001E1003"/>
    <w:rsid w:val="002202D8"/>
    <w:rsid w:val="00264A72"/>
    <w:rsid w:val="00271DE1"/>
    <w:rsid w:val="00274422"/>
    <w:rsid w:val="002A509A"/>
    <w:rsid w:val="002C14E8"/>
    <w:rsid w:val="002D0F54"/>
    <w:rsid w:val="0032349F"/>
    <w:rsid w:val="00327D92"/>
    <w:rsid w:val="00366394"/>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340F1"/>
    <w:rsid w:val="00871882"/>
    <w:rsid w:val="00902F41"/>
    <w:rsid w:val="009043E3"/>
    <w:rsid w:val="00982188"/>
    <w:rsid w:val="009B0E87"/>
    <w:rsid w:val="00A04F27"/>
    <w:rsid w:val="00A331F9"/>
    <w:rsid w:val="00A40D82"/>
    <w:rsid w:val="00A82292"/>
    <w:rsid w:val="00AD3AB2"/>
    <w:rsid w:val="00AD61E8"/>
    <w:rsid w:val="00B17001"/>
    <w:rsid w:val="00B43958"/>
    <w:rsid w:val="00B75EB9"/>
    <w:rsid w:val="00BA1D7F"/>
    <w:rsid w:val="00BC7B61"/>
    <w:rsid w:val="00BD216A"/>
    <w:rsid w:val="00BE7747"/>
    <w:rsid w:val="00C159CC"/>
    <w:rsid w:val="00C573B6"/>
    <w:rsid w:val="00C62A32"/>
    <w:rsid w:val="00CF74CA"/>
    <w:rsid w:val="00D06F97"/>
    <w:rsid w:val="00D3474F"/>
    <w:rsid w:val="00D66B55"/>
    <w:rsid w:val="00D73A5C"/>
    <w:rsid w:val="00E0137E"/>
    <w:rsid w:val="00E1769F"/>
    <w:rsid w:val="00E34D56"/>
    <w:rsid w:val="00ED76FF"/>
    <w:rsid w:val="00EE0337"/>
    <w:rsid w:val="00EF3E10"/>
    <w:rsid w:val="00F736CA"/>
    <w:rsid w:val="00F96A58"/>
    <w:rsid w:val="00FC368B"/>
    <w:rsid w:val="00FE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B88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340F1"/>
    <w:rPr>
      <w:sz w:val="20"/>
      <w:szCs w:val="20"/>
    </w:rPr>
  </w:style>
  <w:style w:type="character" w:customStyle="1" w:styleId="CommentTextChar">
    <w:name w:val="Comment Text Char"/>
    <w:basedOn w:val="DefaultParagraphFont"/>
    <w:link w:val="CommentText"/>
    <w:uiPriority w:val="99"/>
    <w:semiHidden/>
    <w:rsid w:val="008340F1"/>
    <w:rPr>
      <w:rFonts w:ascii="Arial" w:hAnsi="Arial"/>
      <w:sz w:val="20"/>
      <w:szCs w:val="20"/>
    </w:rPr>
  </w:style>
  <w:style w:type="character" w:styleId="CommentReference">
    <w:name w:val="annotation reference"/>
    <w:basedOn w:val="DefaultParagraphFont"/>
    <w:uiPriority w:val="99"/>
    <w:semiHidden/>
    <w:unhideWhenUsed/>
    <w:rsid w:val="008340F1"/>
    <w:rPr>
      <w:sz w:val="16"/>
      <w:szCs w:val="16"/>
    </w:rPr>
  </w:style>
  <w:style w:type="paragraph" w:styleId="Header">
    <w:name w:val="header"/>
    <w:basedOn w:val="Normal"/>
    <w:link w:val="HeaderChar"/>
    <w:uiPriority w:val="99"/>
    <w:unhideWhenUsed/>
    <w:rsid w:val="00902F41"/>
    <w:pPr>
      <w:tabs>
        <w:tab w:val="center" w:pos="4513"/>
        <w:tab w:val="right" w:pos="9026"/>
      </w:tabs>
    </w:pPr>
  </w:style>
  <w:style w:type="character" w:customStyle="1" w:styleId="HeaderChar">
    <w:name w:val="Header Char"/>
    <w:basedOn w:val="DefaultParagraphFont"/>
    <w:link w:val="Header"/>
    <w:uiPriority w:val="99"/>
    <w:rsid w:val="00902F41"/>
    <w:rPr>
      <w:rFonts w:ascii="Arial" w:hAnsi="Arial"/>
    </w:rPr>
  </w:style>
  <w:style w:type="paragraph" w:styleId="Footer">
    <w:name w:val="footer"/>
    <w:basedOn w:val="Normal"/>
    <w:link w:val="FooterChar"/>
    <w:uiPriority w:val="99"/>
    <w:unhideWhenUsed/>
    <w:rsid w:val="00902F41"/>
    <w:pPr>
      <w:tabs>
        <w:tab w:val="center" w:pos="4513"/>
        <w:tab w:val="right" w:pos="9026"/>
      </w:tabs>
    </w:pPr>
  </w:style>
  <w:style w:type="character" w:customStyle="1" w:styleId="FooterChar">
    <w:name w:val="Footer Char"/>
    <w:basedOn w:val="DefaultParagraphFont"/>
    <w:link w:val="Footer"/>
    <w:uiPriority w:val="99"/>
    <w:rsid w:val="00902F4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209</TotalTime>
  <Pages>10</Pages>
  <Words>2542</Words>
  <Characters>14144</Characters>
  <Application>Microsoft Office Word</Application>
  <DocSecurity>4</DocSecurity>
  <Lines>286</Lines>
  <Paragraphs>95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salesforceId:5a6e9c00-e8ac-4731-8ab8-063f72c1cfa1</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069Sl00000a6ktAIAQ</vt:lpwstr>
  </property>
</Properties>
</file>