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AB117" w14:textId="77777777" w:rsidR="00242103" w:rsidRDefault="00242103">
      <w:pPr>
        <w:rPr>
          <w:rFonts w:ascii="Brown" w:eastAsia="Brown" w:hAnsi="Brown" w:cs="Brown"/>
        </w:rPr>
      </w:pPr>
    </w:p>
    <w:p w14:paraId="21389B4B" w14:textId="77777777" w:rsidR="00242103" w:rsidRDefault="00EF66CB">
      <w:pPr>
        <w:pStyle w:val="Heading1"/>
        <w:rPr>
          <w:sz w:val="32"/>
          <w:szCs w:val="32"/>
        </w:rPr>
      </w:pPr>
      <w:r>
        <w:rPr>
          <w:rFonts w:ascii="Brown" w:eastAsia="Brown" w:hAnsi="Brown" w:cs="Brown"/>
          <w:b w:val="0"/>
          <w:bCs w:val="0"/>
          <w:color w:val="1F8787"/>
          <w:sz w:val="32"/>
          <w:szCs w:val="32"/>
        </w:rPr>
        <w:t>Servicing Strategy</w:t>
      </w:r>
    </w:p>
    <w:p w14:paraId="13AA6138" w14:textId="77777777" w:rsidR="00242103" w:rsidRDefault="00EF66CB">
      <w:r>
        <w:rPr>
          <w:rFonts w:ascii="Brown" w:eastAsia="Brown" w:hAnsi="Brown" w:cs="Brown"/>
        </w:rPr>
        <w:t>The Joinery - Blocks 1 and 2, Tariff Street / Port Street, Manchester</w:t>
      </w:r>
    </w:p>
    <w:p w14:paraId="0A605413" w14:textId="77777777" w:rsidR="00242103" w:rsidRDefault="00EF66CB">
      <w:r>
        <w:rPr>
          <w:rFonts w:ascii="Brown" w:eastAsia="Brown" w:hAnsi="Brown" w:cs="Brown"/>
        </w:rPr>
        <w:t>Submitted in accordance with Planning Consent 137807/J/2023 – Condition 4</w:t>
      </w:r>
    </w:p>
    <w:p w14:paraId="2C860F41" w14:textId="77777777" w:rsidR="00242103" w:rsidRDefault="00242103">
      <w:pPr>
        <w:rPr>
          <w:rFonts w:ascii="Brown" w:eastAsia="Brown" w:hAnsi="Brown" w:cs="Brown"/>
        </w:rPr>
      </w:pPr>
    </w:p>
    <w:p w14:paraId="2E040CDA" w14:textId="77777777" w:rsidR="00242103" w:rsidRDefault="00EF66CB">
      <w:pPr>
        <w:pStyle w:val="Heading1"/>
        <w:rPr>
          <w:sz w:val="32"/>
          <w:szCs w:val="32"/>
        </w:rPr>
      </w:pPr>
      <w:r>
        <w:rPr>
          <w:rFonts w:ascii="Brown" w:eastAsia="Brown" w:hAnsi="Brown" w:cs="Brown"/>
          <w:b w:val="0"/>
          <w:bCs w:val="0"/>
          <w:color w:val="1F8787"/>
          <w:sz w:val="32"/>
          <w:szCs w:val="32"/>
        </w:rPr>
        <w:t>Introduction</w:t>
      </w:r>
    </w:p>
    <w:p w14:paraId="6C6DD1AC" w14:textId="77777777" w:rsidR="00242103" w:rsidRDefault="00EF66CB">
      <w:r>
        <w:rPr>
          <w:rFonts w:ascii="Brown" w:eastAsia="Brown" w:hAnsi="Brown" w:cs="Brown"/>
        </w:rPr>
        <w:t>This Servicing Strategy has been prepared to support the occupation of The Joinery’s Block 1 and 2 and to discharge the relevant planning condition requiring details of how the development will be serviced.</w:t>
      </w:r>
    </w:p>
    <w:p w14:paraId="4C11A274" w14:textId="77777777" w:rsidR="00242103" w:rsidRDefault="00242103">
      <w:pPr>
        <w:rPr>
          <w:rFonts w:ascii="Brown" w:eastAsia="Brown" w:hAnsi="Brown" w:cs="Brown"/>
        </w:rPr>
      </w:pPr>
    </w:p>
    <w:p w14:paraId="5B92166E" w14:textId="77777777" w:rsidR="00242103" w:rsidRDefault="00EF66CB">
      <w:r>
        <w:rPr>
          <w:rFonts w:ascii="Brown" w:eastAsia="Brown" w:hAnsi="Brown" w:cs="Brown"/>
        </w:rPr>
        <w:t>The scheme comprises 261 residential apartments across two blocks, with ancillary retail units at ground floor level. The development will be professionally managed by an on-site management team responsible for coordinating servicing, deliveries, and waste management.</w:t>
      </w:r>
    </w:p>
    <w:p w14:paraId="0E734F15" w14:textId="77777777" w:rsidR="00242103" w:rsidRDefault="00242103">
      <w:pPr>
        <w:rPr>
          <w:rFonts w:ascii="Brown" w:eastAsia="Brown" w:hAnsi="Brown" w:cs="Brown"/>
        </w:rPr>
      </w:pPr>
    </w:p>
    <w:p w14:paraId="78AD994A" w14:textId="77777777" w:rsidR="00242103" w:rsidRDefault="00EF66CB">
      <w:r>
        <w:rPr>
          <w:rFonts w:ascii="Brown" w:eastAsia="Brown" w:hAnsi="Brown" w:cs="Brown"/>
        </w:rPr>
        <w:t xml:space="preserve">This strategy sets out how servicing activity will be undertaken efficiently, safely, and with minimal disruption to residents, </w:t>
      </w:r>
      <w:proofErr w:type="spellStart"/>
      <w:r>
        <w:rPr>
          <w:rFonts w:ascii="Brown" w:eastAsia="Brown" w:hAnsi="Brown" w:cs="Brown"/>
        </w:rPr>
        <w:t>neighbouring</w:t>
      </w:r>
      <w:proofErr w:type="spellEnd"/>
      <w:r>
        <w:rPr>
          <w:rFonts w:ascii="Brown" w:eastAsia="Brown" w:hAnsi="Brown" w:cs="Brown"/>
        </w:rPr>
        <w:t xml:space="preserve"> properties, and the public highway.</w:t>
      </w:r>
    </w:p>
    <w:p w14:paraId="36DEA2B8" w14:textId="77777777" w:rsidR="00242103" w:rsidRDefault="00242103">
      <w:pPr>
        <w:rPr>
          <w:rFonts w:ascii="Brown" w:eastAsia="Brown" w:hAnsi="Brown" w:cs="Brown"/>
        </w:rPr>
      </w:pPr>
    </w:p>
    <w:p w14:paraId="161549FC" w14:textId="77777777" w:rsidR="00242103" w:rsidRDefault="00EF66CB">
      <w:pPr>
        <w:pStyle w:val="Heading1"/>
        <w:rPr>
          <w:sz w:val="32"/>
          <w:szCs w:val="32"/>
        </w:rPr>
      </w:pPr>
      <w:r>
        <w:rPr>
          <w:rFonts w:ascii="Brown" w:eastAsia="Brown" w:hAnsi="Brown" w:cs="Brown"/>
          <w:b w:val="0"/>
          <w:bCs w:val="0"/>
          <w:color w:val="1F8787"/>
          <w:sz w:val="32"/>
          <w:szCs w:val="32"/>
        </w:rPr>
        <w:t>Servicing Access and Routes</w:t>
      </w:r>
    </w:p>
    <w:p w14:paraId="49C3F38E" w14:textId="77777777" w:rsidR="00242103" w:rsidRDefault="00EF66CB">
      <w:r>
        <w:rPr>
          <w:rFonts w:ascii="Brown" w:eastAsia="Brown" w:hAnsi="Brown" w:cs="Brown"/>
        </w:rPr>
        <w:t>All servicing activity will be undertaken from Tariff Street , with specific functions allocated as follows:</w:t>
      </w:r>
    </w:p>
    <w:p w14:paraId="7D637276" w14:textId="77777777" w:rsidR="00242103" w:rsidRDefault="00EF66CB">
      <w:pPr>
        <w:numPr>
          <w:ilvl w:val="0"/>
          <w:numId w:val="1"/>
        </w:numPr>
        <w:pBdr>
          <w:left w:val="none" w:sz="0" w:space="7" w:color="auto"/>
        </w:pBdr>
        <w:ind w:hanging="436"/>
        <w:rPr>
          <w:rFonts w:ascii="Times New Roman" w:eastAsia="Times New Roman" w:hAnsi="Times New Roman" w:cs="Times New Roman"/>
        </w:rPr>
      </w:pPr>
      <w:r>
        <w:rPr>
          <w:rFonts w:ascii="Brown" w:eastAsia="Brown" w:hAnsi="Brown" w:cs="Brown"/>
        </w:rPr>
        <w:t>Refuse collection and deliveries will be undertaken from Tariff Street</w:t>
      </w:r>
      <w:r>
        <w:rPr>
          <w:rFonts w:ascii="Brown" w:eastAsia="Brown" w:hAnsi="Brown" w:cs="Brown"/>
          <w:color w:val="B5082E"/>
        </w:rPr>
        <w:t xml:space="preserve"> </w:t>
      </w:r>
      <w:r w:rsidRPr="00FE422B">
        <w:rPr>
          <w:rFonts w:ascii="Brown" w:eastAsia="Brown" w:hAnsi="Brown" w:cs="Brown"/>
          <w:color w:val="000000" w:themeColor="text1"/>
        </w:rPr>
        <w:t>and Port Street</w:t>
      </w:r>
    </w:p>
    <w:p w14:paraId="6B2B1DF0" w14:textId="77777777" w:rsidR="00242103" w:rsidRDefault="00EF66CB">
      <w:pPr>
        <w:numPr>
          <w:ilvl w:val="0"/>
          <w:numId w:val="1"/>
        </w:numPr>
        <w:pBdr>
          <w:left w:val="none" w:sz="0" w:space="7" w:color="auto"/>
        </w:pBdr>
        <w:ind w:hanging="436"/>
        <w:rPr>
          <w:rFonts w:ascii="Times New Roman" w:eastAsia="Times New Roman" w:hAnsi="Times New Roman" w:cs="Times New Roman"/>
        </w:rPr>
      </w:pPr>
      <w:r>
        <w:rPr>
          <w:rFonts w:ascii="Brown" w:eastAsia="Brown" w:hAnsi="Brown" w:cs="Brown"/>
        </w:rPr>
        <w:t xml:space="preserve">Maintenance and contractor access may occur from Tariff Street </w:t>
      </w:r>
    </w:p>
    <w:p w14:paraId="702870CD" w14:textId="77777777" w:rsidR="00242103" w:rsidRDefault="00242103">
      <w:pPr>
        <w:rPr>
          <w:rFonts w:ascii="Brown" w:eastAsia="Brown" w:hAnsi="Brown" w:cs="Brown"/>
        </w:rPr>
      </w:pPr>
    </w:p>
    <w:p w14:paraId="5A7C68F9" w14:textId="77777777" w:rsidR="00242103" w:rsidRDefault="00EF66CB">
      <w:pPr>
        <w:spacing w:line="259" w:lineRule="auto"/>
      </w:pPr>
      <w:r>
        <w:rPr>
          <w:rFonts w:ascii="Brown" w:eastAsia="Brown" w:hAnsi="Brown" w:cs="Brown"/>
        </w:rPr>
        <w:t xml:space="preserve">A dedicated servicing layby is provided on Tariff Street to accommodate delivery and servicing vehicles. This has been designed to </w:t>
      </w:r>
      <w:proofErr w:type="spellStart"/>
      <w:r>
        <w:rPr>
          <w:rFonts w:ascii="Brown" w:eastAsia="Brown" w:hAnsi="Brown" w:cs="Brown"/>
        </w:rPr>
        <w:t>minimise</w:t>
      </w:r>
      <w:proofErr w:type="spellEnd"/>
      <w:r>
        <w:rPr>
          <w:rFonts w:ascii="Brown" w:eastAsia="Brown" w:hAnsi="Brown" w:cs="Brown"/>
        </w:rPr>
        <w:t xml:space="preserve"> conflict with pedestrian movement and general traffic flow. Four accessible parking bays are located adjacent to the layby.</w:t>
      </w:r>
    </w:p>
    <w:p w14:paraId="71D40613" w14:textId="77777777" w:rsidR="00242103" w:rsidRDefault="00242103">
      <w:pPr>
        <w:rPr>
          <w:rFonts w:ascii="Brown" w:eastAsia="Brown" w:hAnsi="Brown" w:cs="Brown"/>
        </w:rPr>
      </w:pPr>
    </w:p>
    <w:p w14:paraId="7E7F1EF5" w14:textId="5D773534" w:rsidR="00242103" w:rsidRPr="00567348" w:rsidRDefault="00EF66CB">
      <w:r>
        <w:rPr>
          <w:rFonts w:ascii="Brown" w:eastAsia="Brown" w:hAnsi="Brown" w:cs="Brown"/>
        </w:rPr>
        <w:t>The servicing layby has been designed to accommodate servicing vehicles, including refuse vehicles and delivery vehicles, enabling them to access, stop, and exit in a safe and efficient manner without obstruction to the public highway.</w:t>
      </w:r>
    </w:p>
    <w:p w14:paraId="6DD39962" w14:textId="77777777" w:rsidR="00242103" w:rsidRDefault="00242103">
      <w:pPr>
        <w:rPr>
          <w:rFonts w:ascii="Brown" w:eastAsia="Brown" w:hAnsi="Brown" w:cs="Brown"/>
        </w:rPr>
      </w:pPr>
    </w:p>
    <w:p w14:paraId="69B03285" w14:textId="77777777" w:rsidR="00242103" w:rsidRDefault="00EF66CB">
      <w:r>
        <w:rPr>
          <w:rFonts w:ascii="Brown" w:eastAsia="Brown" w:hAnsi="Brown" w:cs="Brown"/>
        </w:rPr>
        <w:t>Servicing access points are provided via secure perimeter doors leading directly into back-of-house and ancillary areas. These are controlled via key or fob access and are not accessible to residents.</w:t>
      </w:r>
    </w:p>
    <w:p w14:paraId="278F0424" w14:textId="77777777" w:rsidR="00242103" w:rsidRDefault="00242103">
      <w:pPr>
        <w:rPr>
          <w:rFonts w:ascii="Brown" w:eastAsia="Brown" w:hAnsi="Brown" w:cs="Brown"/>
        </w:rPr>
      </w:pPr>
    </w:p>
    <w:p w14:paraId="349E9B2A" w14:textId="77777777" w:rsidR="00242103" w:rsidRDefault="00EF66CB">
      <w:r>
        <w:rPr>
          <w:rFonts w:ascii="Brown" w:eastAsia="Brown" w:hAnsi="Brown" w:cs="Brown"/>
        </w:rPr>
        <w:t xml:space="preserve">Servicing routes are direct, clearly defined, and segregated from primary residential access routes where possible. Pedestrian and servicing interactions are </w:t>
      </w:r>
      <w:proofErr w:type="spellStart"/>
      <w:r>
        <w:rPr>
          <w:rFonts w:ascii="Brown" w:eastAsia="Brown" w:hAnsi="Brown" w:cs="Brown"/>
        </w:rPr>
        <w:t>minimised</w:t>
      </w:r>
      <w:proofErr w:type="spellEnd"/>
      <w:r>
        <w:rPr>
          <w:rFonts w:ascii="Brown" w:eastAsia="Brown" w:hAnsi="Brown" w:cs="Brown"/>
        </w:rPr>
        <w:t xml:space="preserve"> through layout design and operational management controls.</w:t>
      </w:r>
    </w:p>
    <w:p w14:paraId="43B37C0A" w14:textId="77777777" w:rsidR="00242103" w:rsidRDefault="00242103">
      <w:pPr>
        <w:rPr>
          <w:rFonts w:ascii="Brown" w:eastAsia="Brown" w:hAnsi="Brown" w:cs="Brown"/>
        </w:rPr>
      </w:pPr>
    </w:p>
    <w:p w14:paraId="57AA670B" w14:textId="77777777" w:rsidR="00242103" w:rsidRDefault="00EF66CB">
      <w:pPr>
        <w:pStyle w:val="Heading1"/>
        <w:rPr>
          <w:sz w:val="32"/>
          <w:szCs w:val="32"/>
        </w:rPr>
      </w:pPr>
      <w:r>
        <w:rPr>
          <w:rFonts w:ascii="Brown" w:eastAsia="Brown" w:hAnsi="Brown" w:cs="Brown"/>
          <w:b w:val="0"/>
          <w:bCs w:val="0"/>
          <w:color w:val="1F8787"/>
          <w:sz w:val="32"/>
          <w:szCs w:val="32"/>
        </w:rPr>
        <w:t>Deliveries and Contractor Access</w:t>
      </w:r>
    </w:p>
    <w:p w14:paraId="3F4001EA" w14:textId="77777777" w:rsidR="00242103" w:rsidRDefault="00EF66CB">
      <w:r>
        <w:rPr>
          <w:rFonts w:ascii="Brown" w:eastAsia="Brown" w:hAnsi="Brown" w:cs="Brown"/>
        </w:rPr>
        <w:t>All deliveries will be directed to the Tariff Street servicing layby and managed by the on-site management team.</w:t>
      </w:r>
    </w:p>
    <w:p w14:paraId="15963D96" w14:textId="77777777" w:rsidR="00242103" w:rsidRDefault="00242103">
      <w:pPr>
        <w:rPr>
          <w:rFonts w:ascii="Brown" w:eastAsia="Brown" w:hAnsi="Brown" w:cs="Brown"/>
        </w:rPr>
      </w:pPr>
    </w:p>
    <w:p w14:paraId="3FC55339" w14:textId="77777777" w:rsidR="00242103" w:rsidRDefault="00EF66CB">
      <w:r>
        <w:rPr>
          <w:rFonts w:ascii="Brown" w:eastAsia="Brown" w:hAnsi="Brown" w:cs="Brown"/>
        </w:rPr>
        <w:t>Deliveries will take place during standard daytime hours wherever possible</w:t>
      </w:r>
    </w:p>
    <w:p w14:paraId="1016803C" w14:textId="77777777" w:rsidR="00242103" w:rsidRDefault="00EF66CB">
      <w:r>
        <w:rPr>
          <w:rFonts w:ascii="Brown" w:eastAsia="Brown" w:hAnsi="Brown" w:cs="Brown"/>
        </w:rPr>
        <w:lastRenderedPageBreak/>
        <w:t>Larger deliveries and contractor visits will be pre-booked via an on-site booking system</w:t>
      </w:r>
    </w:p>
    <w:p w14:paraId="4A423F0F" w14:textId="77777777" w:rsidR="00242103" w:rsidRDefault="00EF66CB">
      <w:r>
        <w:rPr>
          <w:rFonts w:ascii="Brown" w:eastAsia="Brown" w:hAnsi="Brown" w:cs="Brown"/>
        </w:rPr>
        <w:t>The on-site team will coordinate arrivals to avoid congestion and queuing</w:t>
      </w:r>
    </w:p>
    <w:p w14:paraId="6A7A044E" w14:textId="77777777" w:rsidR="00242103" w:rsidRDefault="00EF66CB">
      <w:r>
        <w:rPr>
          <w:rFonts w:ascii="Brown" w:eastAsia="Brown" w:hAnsi="Brown" w:cs="Brown"/>
        </w:rPr>
        <w:t>Contractor access will be controlled and supervised at all times</w:t>
      </w:r>
    </w:p>
    <w:p w14:paraId="660406B7" w14:textId="77777777" w:rsidR="00242103" w:rsidRDefault="00EF66CB">
      <w:r>
        <w:rPr>
          <w:rFonts w:ascii="Brown" w:eastAsia="Brown" w:hAnsi="Brown" w:cs="Brown"/>
        </w:rPr>
        <w:t>Delivery scheduling will be actively managed to prevent clustering of vehicles</w:t>
      </w:r>
    </w:p>
    <w:p w14:paraId="43828747" w14:textId="77777777" w:rsidR="00242103" w:rsidRDefault="00242103">
      <w:pPr>
        <w:rPr>
          <w:rFonts w:ascii="Brown" w:eastAsia="Brown" w:hAnsi="Brown" w:cs="Brown"/>
        </w:rPr>
      </w:pPr>
    </w:p>
    <w:p w14:paraId="018C7EBF" w14:textId="77777777" w:rsidR="00242103" w:rsidRDefault="00EF66CB">
      <w:r>
        <w:rPr>
          <w:rFonts w:ascii="Brown" w:eastAsia="Brown" w:hAnsi="Brown" w:cs="Brown"/>
        </w:rPr>
        <w:t xml:space="preserve">Out-of-hours servicing will be limited to emergency works, essential maintenance, or operational necessity, and will be managed to </w:t>
      </w:r>
      <w:proofErr w:type="spellStart"/>
      <w:r>
        <w:rPr>
          <w:rFonts w:ascii="Brown" w:eastAsia="Brown" w:hAnsi="Brown" w:cs="Brown"/>
        </w:rPr>
        <w:t>minimise</w:t>
      </w:r>
      <w:proofErr w:type="spellEnd"/>
      <w:r>
        <w:rPr>
          <w:rFonts w:ascii="Brown" w:eastAsia="Brown" w:hAnsi="Brown" w:cs="Brown"/>
        </w:rPr>
        <w:t xml:space="preserve"> disturbance to residents.</w:t>
      </w:r>
    </w:p>
    <w:p w14:paraId="05E71199" w14:textId="77777777" w:rsidR="00242103" w:rsidRDefault="00242103">
      <w:pPr>
        <w:rPr>
          <w:rFonts w:ascii="Brown" w:eastAsia="Brown" w:hAnsi="Brown" w:cs="Brown"/>
        </w:rPr>
      </w:pPr>
    </w:p>
    <w:p w14:paraId="0C9AD482" w14:textId="77777777" w:rsidR="00242103" w:rsidRDefault="00EF66CB">
      <w:r>
        <w:rPr>
          <w:rFonts w:ascii="Brown" w:eastAsia="Brown" w:hAnsi="Brown" w:cs="Brown"/>
        </w:rPr>
        <w:t>All servicing activity will be monitored to ensure it does not obstruct pedestrian movement, emergency access, or highway operation.</w:t>
      </w:r>
    </w:p>
    <w:p w14:paraId="2AD7277F" w14:textId="77777777" w:rsidR="00242103" w:rsidRDefault="00242103">
      <w:pPr>
        <w:rPr>
          <w:rFonts w:ascii="Brown" w:eastAsia="Brown" w:hAnsi="Brown" w:cs="Brown"/>
        </w:rPr>
      </w:pPr>
    </w:p>
    <w:p w14:paraId="1B130A69" w14:textId="77777777" w:rsidR="00242103" w:rsidRDefault="00EF66CB">
      <w:pPr>
        <w:pStyle w:val="Heading1"/>
        <w:rPr>
          <w:sz w:val="32"/>
          <w:szCs w:val="32"/>
        </w:rPr>
      </w:pPr>
      <w:r>
        <w:rPr>
          <w:rFonts w:ascii="Brown" w:eastAsia="Brown" w:hAnsi="Brown" w:cs="Brown"/>
          <w:b w:val="0"/>
          <w:bCs w:val="0"/>
          <w:color w:val="1F8787"/>
          <w:sz w:val="32"/>
          <w:szCs w:val="32"/>
        </w:rPr>
        <w:t>Refuse and Recycling Strategy</w:t>
      </w:r>
    </w:p>
    <w:p w14:paraId="448330F1" w14:textId="77777777" w:rsidR="00242103" w:rsidRDefault="00EF66CB">
      <w:pPr>
        <w:pStyle w:val="Heading2"/>
        <w:rPr>
          <w:sz w:val="26"/>
          <w:szCs w:val="26"/>
        </w:rPr>
      </w:pPr>
      <w:r>
        <w:rPr>
          <w:rFonts w:ascii="Brown" w:eastAsia="Brown" w:hAnsi="Brown" w:cs="Brown"/>
          <w:b w:val="0"/>
          <w:bCs w:val="0"/>
          <w:color w:val="1F8787"/>
          <w:sz w:val="26"/>
          <w:szCs w:val="26"/>
        </w:rPr>
        <w:t>Compliance with GD04 and Design Standards</w:t>
      </w:r>
    </w:p>
    <w:p w14:paraId="77F95C5F" w14:textId="77777777" w:rsidR="00242103" w:rsidRDefault="00EF66CB">
      <w:r>
        <w:rPr>
          <w:rFonts w:ascii="Brown" w:eastAsia="Brown" w:hAnsi="Brown" w:cs="Brown"/>
        </w:rPr>
        <w:t>The refuse strategy has been prepared in accordance with Manchester City Council GD04 – Waste Storage and Collection Guidance for New Developments (Version 6, 2017) and Manchester City Council Residential Quality Guidance.</w:t>
      </w:r>
    </w:p>
    <w:p w14:paraId="3459AC03" w14:textId="77777777" w:rsidR="00242103" w:rsidRDefault="00242103">
      <w:pPr>
        <w:rPr>
          <w:rFonts w:ascii="Brown" w:eastAsia="Brown" w:hAnsi="Brown" w:cs="Brown"/>
        </w:rPr>
      </w:pPr>
    </w:p>
    <w:p w14:paraId="6F28C089" w14:textId="77777777" w:rsidR="00242103" w:rsidRDefault="00EF66CB">
      <w:r>
        <w:rPr>
          <w:rFonts w:ascii="Brown" w:eastAsia="Brown" w:hAnsi="Brown" w:cs="Brown"/>
        </w:rPr>
        <w:t>Household waste generation has been calculated using the following allowances:</w:t>
      </w:r>
    </w:p>
    <w:p w14:paraId="096F329F" w14:textId="77777777" w:rsidR="00242103" w:rsidRDefault="00EF66CB">
      <w:pPr>
        <w:numPr>
          <w:ilvl w:val="0"/>
          <w:numId w:val="2"/>
        </w:numPr>
        <w:pBdr>
          <w:left w:val="none" w:sz="0" w:space="7" w:color="auto"/>
        </w:pBdr>
        <w:ind w:hanging="436"/>
        <w:rPr>
          <w:rFonts w:ascii="Times New Roman" w:eastAsia="Times New Roman" w:hAnsi="Times New Roman" w:cs="Times New Roman"/>
        </w:rPr>
      </w:pPr>
      <w:r>
        <w:rPr>
          <w:rFonts w:ascii="Brown" w:eastAsia="Brown" w:hAnsi="Brown" w:cs="Brown"/>
        </w:rPr>
        <w:t xml:space="preserve">110 </w:t>
      </w:r>
      <w:proofErr w:type="spellStart"/>
      <w:r>
        <w:rPr>
          <w:rFonts w:ascii="Brown" w:eastAsia="Brown" w:hAnsi="Brown" w:cs="Brown"/>
        </w:rPr>
        <w:t>litres</w:t>
      </w:r>
      <w:proofErr w:type="spellEnd"/>
      <w:r>
        <w:rPr>
          <w:rFonts w:ascii="Brown" w:eastAsia="Brown" w:hAnsi="Brown" w:cs="Brown"/>
        </w:rPr>
        <w:t xml:space="preserve"> residual waste per apartment per week</w:t>
      </w:r>
    </w:p>
    <w:p w14:paraId="09F5B224" w14:textId="77777777" w:rsidR="00242103" w:rsidRDefault="00EF66CB">
      <w:pPr>
        <w:numPr>
          <w:ilvl w:val="0"/>
          <w:numId w:val="2"/>
        </w:numPr>
        <w:pBdr>
          <w:left w:val="none" w:sz="0" w:space="7" w:color="auto"/>
        </w:pBdr>
        <w:ind w:hanging="436"/>
        <w:rPr>
          <w:rFonts w:ascii="Times New Roman" w:eastAsia="Times New Roman" w:hAnsi="Times New Roman" w:cs="Times New Roman"/>
        </w:rPr>
      </w:pPr>
      <w:r>
        <w:rPr>
          <w:rFonts w:ascii="Brown" w:eastAsia="Brown" w:hAnsi="Brown" w:cs="Brown"/>
        </w:rPr>
        <w:t xml:space="preserve">55 </w:t>
      </w:r>
      <w:proofErr w:type="spellStart"/>
      <w:r>
        <w:rPr>
          <w:rFonts w:ascii="Brown" w:eastAsia="Brown" w:hAnsi="Brown" w:cs="Brown"/>
        </w:rPr>
        <w:t>litres</w:t>
      </w:r>
      <w:proofErr w:type="spellEnd"/>
      <w:r>
        <w:rPr>
          <w:rFonts w:ascii="Brown" w:eastAsia="Brown" w:hAnsi="Brown" w:cs="Brown"/>
        </w:rPr>
        <w:t xml:space="preserve"> co-mingled recycling per apartment per fortnight</w:t>
      </w:r>
    </w:p>
    <w:p w14:paraId="31BFC148" w14:textId="77777777" w:rsidR="00242103" w:rsidRDefault="00EF66CB">
      <w:pPr>
        <w:numPr>
          <w:ilvl w:val="0"/>
          <w:numId w:val="2"/>
        </w:numPr>
        <w:pBdr>
          <w:left w:val="none" w:sz="0" w:space="7" w:color="auto"/>
        </w:pBdr>
        <w:ind w:hanging="436"/>
        <w:rPr>
          <w:rFonts w:ascii="Times New Roman" w:eastAsia="Times New Roman" w:hAnsi="Times New Roman" w:cs="Times New Roman"/>
        </w:rPr>
      </w:pPr>
      <w:r>
        <w:rPr>
          <w:rFonts w:ascii="Brown" w:eastAsia="Brown" w:hAnsi="Brown" w:cs="Brown"/>
        </w:rPr>
        <w:t xml:space="preserve">55 </w:t>
      </w:r>
      <w:proofErr w:type="spellStart"/>
      <w:r>
        <w:rPr>
          <w:rFonts w:ascii="Brown" w:eastAsia="Brown" w:hAnsi="Brown" w:cs="Brown"/>
        </w:rPr>
        <w:t>litres</w:t>
      </w:r>
      <w:proofErr w:type="spellEnd"/>
      <w:r>
        <w:rPr>
          <w:rFonts w:ascii="Brown" w:eastAsia="Brown" w:hAnsi="Brown" w:cs="Brown"/>
        </w:rPr>
        <w:t xml:space="preserve"> paper/card (pulpable) waste per apartment per fortnight</w:t>
      </w:r>
    </w:p>
    <w:p w14:paraId="2466B575" w14:textId="77777777" w:rsidR="00242103" w:rsidRDefault="00EF66CB">
      <w:pPr>
        <w:numPr>
          <w:ilvl w:val="0"/>
          <w:numId w:val="2"/>
        </w:numPr>
        <w:pBdr>
          <w:left w:val="none" w:sz="0" w:space="7" w:color="auto"/>
        </w:pBdr>
        <w:ind w:hanging="436"/>
        <w:rPr>
          <w:rFonts w:ascii="Times New Roman" w:eastAsia="Times New Roman" w:hAnsi="Times New Roman" w:cs="Times New Roman"/>
        </w:rPr>
      </w:pPr>
      <w:r>
        <w:rPr>
          <w:rFonts w:ascii="Brown" w:eastAsia="Brown" w:hAnsi="Brown" w:cs="Brown"/>
        </w:rPr>
        <w:t xml:space="preserve">5 </w:t>
      </w:r>
      <w:proofErr w:type="spellStart"/>
      <w:r>
        <w:rPr>
          <w:rFonts w:ascii="Brown" w:eastAsia="Brown" w:hAnsi="Brown" w:cs="Brown"/>
        </w:rPr>
        <w:t>litres</w:t>
      </w:r>
      <w:proofErr w:type="spellEnd"/>
      <w:r>
        <w:rPr>
          <w:rFonts w:ascii="Brown" w:eastAsia="Brown" w:hAnsi="Brown" w:cs="Brown"/>
        </w:rPr>
        <w:t xml:space="preserve"> organic waste per apartment per week</w:t>
      </w:r>
    </w:p>
    <w:p w14:paraId="134C1C3A" w14:textId="77777777" w:rsidR="00242103" w:rsidRDefault="00242103">
      <w:pPr>
        <w:rPr>
          <w:rFonts w:ascii="Brown" w:eastAsia="Brown" w:hAnsi="Brown" w:cs="Brown"/>
        </w:rPr>
      </w:pPr>
    </w:p>
    <w:p w14:paraId="69E3A4ED" w14:textId="77777777" w:rsidR="00242103" w:rsidRDefault="00EF66CB">
      <w:r>
        <w:rPr>
          <w:rFonts w:ascii="Brown" w:eastAsia="Brown" w:hAnsi="Brown" w:cs="Brown"/>
        </w:rPr>
        <w:t>These standards inform both bin provision and refuse storage sizing.</w:t>
      </w:r>
    </w:p>
    <w:p w14:paraId="5D3AF95A" w14:textId="77777777" w:rsidR="00242103" w:rsidRDefault="00242103">
      <w:pPr>
        <w:rPr>
          <w:rFonts w:ascii="Brown" w:eastAsia="Brown" w:hAnsi="Brown" w:cs="Brown"/>
        </w:rPr>
      </w:pPr>
    </w:p>
    <w:p w14:paraId="3A7CE90F" w14:textId="77777777" w:rsidR="00242103" w:rsidRDefault="00EF66CB">
      <w:pPr>
        <w:pStyle w:val="Heading2"/>
        <w:rPr>
          <w:sz w:val="26"/>
          <w:szCs w:val="26"/>
        </w:rPr>
      </w:pPr>
      <w:r>
        <w:rPr>
          <w:rFonts w:ascii="Brown" w:eastAsia="Brown" w:hAnsi="Brown" w:cs="Brown"/>
          <w:b w:val="0"/>
          <w:bCs w:val="0"/>
          <w:color w:val="1F8787"/>
          <w:sz w:val="26"/>
          <w:szCs w:val="26"/>
        </w:rPr>
        <w:t>Refuse Store Provision</w:t>
      </w:r>
    </w:p>
    <w:p w14:paraId="6505A57C" w14:textId="77777777" w:rsidR="00242103" w:rsidRDefault="00EF66CB">
      <w:r>
        <w:rPr>
          <w:rFonts w:ascii="Brown" w:eastAsia="Brown" w:hAnsi="Brown" w:cs="Brown"/>
        </w:rPr>
        <w:t>Three communal refuse stores are provided:</w:t>
      </w:r>
    </w:p>
    <w:p w14:paraId="24AA795D" w14:textId="77777777" w:rsidR="00242103" w:rsidRDefault="00EF66CB">
      <w:pPr>
        <w:numPr>
          <w:ilvl w:val="0"/>
          <w:numId w:val="3"/>
        </w:numPr>
        <w:pBdr>
          <w:left w:val="none" w:sz="0" w:space="7" w:color="auto"/>
        </w:pBdr>
        <w:ind w:hanging="436"/>
        <w:rPr>
          <w:rFonts w:ascii="Times New Roman" w:eastAsia="Times New Roman" w:hAnsi="Times New Roman" w:cs="Times New Roman"/>
        </w:rPr>
      </w:pPr>
      <w:r>
        <w:rPr>
          <w:rFonts w:ascii="Brown" w:eastAsia="Brown" w:hAnsi="Brown" w:cs="Brown"/>
        </w:rPr>
        <w:t>Block 1: Two refuse stores</w:t>
      </w:r>
    </w:p>
    <w:p w14:paraId="3AFEAD2B" w14:textId="77777777" w:rsidR="00242103" w:rsidRDefault="00EF66CB">
      <w:pPr>
        <w:numPr>
          <w:ilvl w:val="0"/>
          <w:numId w:val="3"/>
        </w:numPr>
        <w:pBdr>
          <w:left w:val="none" w:sz="0" w:space="7" w:color="auto"/>
        </w:pBdr>
        <w:ind w:hanging="436"/>
        <w:rPr>
          <w:rFonts w:ascii="Times New Roman" w:eastAsia="Times New Roman" w:hAnsi="Times New Roman" w:cs="Times New Roman"/>
        </w:rPr>
      </w:pPr>
      <w:r>
        <w:rPr>
          <w:rFonts w:ascii="Brown" w:eastAsia="Brown" w:hAnsi="Brown" w:cs="Brown"/>
        </w:rPr>
        <w:t>Block 2: One refuse store</w:t>
      </w:r>
    </w:p>
    <w:p w14:paraId="57460FEE" w14:textId="77777777" w:rsidR="00242103" w:rsidRDefault="00242103">
      <w:pPr>
        <w:rPr>
          <w:rFonts w:ascii="Brown" w:eastAsia="Brown" w:hAnsi="Brown" w:cs="Brown"/>
        </w:rPr>
      </w:pPr>
    </w:p>
    <w:p w14:paraId="35DDF7FA" w14:textId="77777777" w:rsidR="00242103" w:rsidRDefault="00EF66CB">
      <w:r>
        <w:rPr>
          <w:rFonts w:ascii="Brown" w:eastAsia="Brown" w:hAnsi="Brown" w:cs="Brown"/>
        </w:rPr>
        <w:t>Refuse storage is provided at a rate of 0.43 sqm per apartment, in accordance with MCC guidance.</w:t>
      </w:r>
    </w:p>
    <w:p w14:paraId="1F7EF57C" w14:textId="77777777" w:rsidR="00242103" w:rsidRDefault="00242103">
      <w:pPr>
        <w:rPr>
          <w:rFonts w:ascii="Brown" w:eastAsia="Brown" w:hAnsi="Brown" w:cs="Brown"/>
        </w:rPr>
      </w:pPr>
    </w:p>
    <w:p w14:paraId="649C4A58" w14:textId="77777777" w:rsidR="00242103" w:rsidRDefault="00EF66CB">
      <w:r>
        <w:rPr>
          <w:rFonts w:ascii="Brown" w:eastAsia="Brown" w:hAnsi="Brown" w:cs="Brown"/>
        </w:rPr>
        <w:t>This equates to:</w:t>
      </w:r>
    </w:p>
    <w:p w14:paraId="5ADD09ED" w14:textId="77777777" w:rsidR="00242103" w:rsidRDefault="00EF66CB">
      <w:pPr>
        <w:numPr>
          <w:ilvl w:val="0"/>
          <w:numId w:val="4"/>
        </w:numPr>
        <w:pBdr>
          <w:left w:val="none" w:sz="0" w:space="7" w:color="auto"/>
        </w:pBdr>
        <w:ind w:hanging="436"/>
        <w:rPr>
          <w:rFonts w:ascii="Times New Roman" w:eastAsia="Times New Roman" w:hAnsi="Times New Roman" w:cs="Times New Roman"/>
        </w:rPr>
      </w:pPr>
      <w:r>
        <w:rPr>
          <w:rFonts w:ascii="Brown" w:eastAsia="Brown" w:hAnsi="Brown" w:cs="Brown"/>
        </w:rPr>
        <w:t>Block 1 (205 apartments): 88.15 sqm of refuse storage required, with approximately 165 sqm provided.</w:t>
      </w:r>
    </w:p>
    <w:p w14:paraId="6CD2C1E1" w14:textId="77777777" w:rsidR="00242103" w:rsidRDefault="00EF66CB">
      <w:pPr>
        <w:numPr>
          <w:ilvl w:val="0"/>
          <w:numId w:val="4"/>
        </w:numPr>
        <w:pBdr>
          <w:left w:val="none" w:sz="0" w:space="7" w:color="auto"/>
        </w:pBdr>
        <w:ind w:hanging="436"/>
        <w:rPr>
          <w:rFonts w:ascii="Times New Roman" w:eastAsia="Times New Roman" w:hAnsi="Times New Roman" w:cs="Times New Roman"/>
        </w:rPr>
      </w:pPr>
      <w:r>
        <w:rPr>
          <w:rFonts w:ascii="Brown" w:eastAsia="Brown" w:hAnsi="Brown" w:cs="Brown"/>
        </w:rPr>
        <w:t>Block 2 (56 apartments): 24.08 sqm of refuse storage required, with approximately 50 sqm provided.</w:t>
      </w:r>
    </w:p>
    <w:p w14:paraId="6C64CD72" w14:textId="77777777" w:rsidR="00242103" w:rsidRDefault="00242103">
      <w:pPr>
        <w:rPr>
          <w:rFonts w:ascii="Brown" w:eastAsia="Brown" w:hAnsi="Brown" w:cs="Brown"/>
        </w:rPr>
      </w:pPr>
    </w:p>
    <w:p w14:paraId="722A803A" w14:textId="77777777" w:rsidR="00242103" w:rsidRDefault="00EF66CB">
      <w:r>
        <w:rPr>
          <w:rFonts w:ascii="Brown" w:eastAsia="Brown" w:hAnsi="Brown" w:cs="Brown"/>
        </w:rPr>
        <w:t xml:space="preserve">All stores are located at ground floor level adjacent to lift cores, ensuring efficient access and </w:t>
      </w:r>
      <w:proofErr w:type="spellStart"/>
      <w:r>
        <w:rPr>
          <w:rFonts w:ascii="Brown" w:eastAsia="Brown" w:hAnsi="Brown" w:cs="Brown"/>
        </w:rPr>
        <w:t>minimising</w:t>
      </w:r>
      <w:proofErr w:type="spellEnd"/>
      <w:r>
        <w:rPr>
          <w:rFonts w:ascii="Brown" w:eastAsia="Brown" w:hAnsi="Brown" w:cs="Brown"/>
        </w:rPr>
        <w:t xml:space="preserve"> internal travel distances for residents.</w:t>
      </w:r>
    </w:p>
    <w:p w14:paraId="63862DF9" w14:textId="77777777" w:rsidR="00242103" w:rsidRDefault="00242103">
      <w:pPr>
        <w:rPr>
          <w:rFonts w:ascii="Brown" w:eastAsia="Brown" w:hAnsi="Brown" w:cs="Brown"/>
        </w:rPr>
      </w:pPr>
    </w:p>
    <w:p w14:paraId="74EA63E0" w14:textId="77777777" w:rsidR="00567348" w:rsidRDefault="00567348">
      <w:pPr>
        <w:pStyle w:val="Heading2"/>
        <w:rPr>
          <w:rFonts w:ascii="Brown" w:eastAsia="Brown" w:hAnsi="Brown" w:cs="Brown"/>
          <w:b w:val="0"/>
          <w:bCs w:val="0"/>
          <w:color w:val="1F8787"/>
          <w:sz w:val="26"/>
          <w:szCs w:val="26"/>
        </w:rPr>
      </w:pPr>
    </w:p>
    <w:p w14:paraId="15B5C9EA" w14:textId="77777777" w:rsidR="00567348" w:rsidRDefault="00567348">
      <w:pPr>
        <w:pStyle w:val="Heading2"/>
        <w:rPr>
          <w:rFonts w:ascii="Brown" w:eastAsia="Brown" w:hAnsi="Brown" w:cs="Brown"/>
          <w:b w:val="0"/>
          <w:bCs w:val="0"/>
          <w:color w:val="1F8787"/>
          <w:sz w:val="26"/>
          <w:szCs w:val="26"/>
        </w:rPr>
      </w:pPr>
    </w:p>
    <w:p w14:paraId="2D9EA1DE" w14:textId="5F0674A5" w:rsidR="00242103" w:rsidRDefault="00EF66CB">
      <w:pPr>
        <w:pStyle w:val="Heading2"/>
        <w:rPr>
          <w:sz w:val="26"/>
          <w:szCs w:val="26"/>
        </w:rPr>
      </w:pPr>
      <w:r>
        <w:rPr>
          <w:rFonts w:ascii="Brown" w:eastAsia="Brown" w:hAnsi="Brown" w:cs="Brown"/>
          <w:b w:val="0"/>
          <w:bCs w:val="0"/>
          <w:color w:val="1F8787"/>
          <w:sz w:val="26"/>
          <w:szCs w:val="26"/>
        </w:rPr>
        <w:t>Bin Provision</w:t>
      </w:r>
    </w:p>
    <w:p w14:paraId="39B49784" w14:textId="77777777" w:rsidR="00242103" w:rsidRDefault="00242103">
      <w:pPr>
        <w:rPr>
          <w:rFonts w:ascii="Brown" w:eastAsia="Brown" w:hAnsi="Brown" w:cs="Brown"/>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0" w:type="dxa"/>
          <w:right w:w="0" w:type="dxa"/>
        </w:tblCellMar>
        <w:tblLook w:val="04A0" w:firstRow="1" w:lastRow="0" w:firstColumn="1" w:lastColumn="0" w:noHBand="0" w:noVBand="1"/>
      </w:tblPr>
      <w:tblGrid>
        <w:gridCol w:w="1745"/>
        <w:gridCol w:w="2171"/>
        <w:gridCol w:w="1461"/>
        <w:gridCol w:w="1784"/>
      </w:tblGrid>
      <w:tr w:rsidR="00242103" w14:paraId="5A89D9AF" w14:textId="77777777">
        <w:tc>
          <w:tcPr>
            <w:tcW w:w="0" w:type="auto"/>
            <w:tcBorders>
              <w:bottom w:val="single" w:sz="4" w:space="0" w:color="BFBFBF"/>
              <w:right w:val="single" w:sz="4" w:space="0" w:color="BFBFBF"/>
            </w:tcBorders>
            <w:tcMar>
              <w:top w:w="0" w:type="dxa"/>
              <w:left w:w="108" w:type="dxa"/>
              <w:bottom w:w="0" w:type="dxa"/>
              <w:right w:w="108" w:type="dxa"/>
            </w:tcMar>
            <w:hideMark/>
          </w:tcPr>
          <w:p w14:paraId="602582EF" w14:textId="77777777" w:rsidR="00242103" w:rsidRDefault="00EF66CB">
            <w:pPr>
              <w:rPr>
                <w:color w:val="000000"/>
              </w:rPr>
            </w:pPr>
            <w:r>
              <w:rPr>
                <w:rFonts w:ascii="Brown" w:eastAsia="Brown" w:hAnsi="Brown" w:cs="Brown"/>
                <w:b/>
                <w:bCs/>
                <w:color w:val="000000"/>
              </w:rPr>
              <w:t>Waste Stream</w:t>
            </w:r>
          </w:p>
        </w:tc>
        <w:tc>
          <w:tcPr>
            <w:tcW w:w="0" w:type="auto"/>
            <w:tcBorders>
              <w:left w:val="single" w:sz="4" w:space="0" w:color="BFBFBF"/>
              <w:bottom w:val="single" w:sz="4" w:space="0" w:color="BFBFBF"/>
              <w:right w:val="single" w:sz="4" w:space="0" w:color="BFBFBF"/>
            </w:tcBorders>
            <w:tcMar>
              <w:top w:w="0" w:type="dxa"/>
              <w:left w:w="108" w:type="dxa"/>
              <w:bottom w:w="0" w:type="dxa"/>
              <w:right w:w="108" w:type="dxa"/>
            </w:tcMar>
            <w:hideMark/>
          </w:tcPr>
          <w:p w14:paraId="1A1CFED1" w14:textId="77777777" w:rsidR="00242103" w:rsidRDefault="00EF66CB">
            <w:pPr>
              <w:rPr>
                <w:color w:val="000000"/>
              </w:rPr>
            </w:pPr>
            <w:r>
              <w:rPr>
                <w:rFonts w:ascii="Brown" w:eastAsia="Brown" w:hAnsi="Brown" w:cs="Brown"/>
                <w:b/>
                <w:bCs/>
                <w:color w:val="000000"/>
              </w:rPr>
              <w:t>Total Capacity (L)</w:t>
            </w:r>
          </w:p>
        </w:tc>
        <w:tc>
          <w:tcPr>
            <w:tcW w:w="0" w:type="auto"/>
            <w:tcBorders>
              <w:left w:val="single" w:sz="4" w:space="0" w:color="BFBFBF"/>
              <w:bottom w:val="single" w:sz="4" w:space="0" w:color="BFBFBF"/>
              <w:right w:val="single" w:sz="4" w:space="0" w:color="BFBFBF"/>
            </w:tcBorders>
            <w:tcMar>
              <w:top w:w="0" w:type="dxa"/>
              <w:left w:w="108" w:type="dxa"/>
              <w:bottom w:w="0" w:type="dxa"/>
              <w:right w:w="108" w:type="dxa"/>
            </w:tcMar>
            <w:hideMark/>
          </w:tcPr>
          <w:p w14:paraId="6568524B" w14:textId="77777777" w:rsidR="00242103" w:rsidRDefault="00EF66CB">
            <w:pPr>
              <w:rPr>
                <w:color w:val="000000"/>
              </w:rPr>
            </w:pPr>
            <w:r>
              <w:rPr>
                <w:rFonts w:ascii="Brown" w:eastAsia="Brown" w:hAnsi="Brown" w:cs="Brown"/>
                <w:b/>
                <w:bCs/>
                <w:color w:val="000000"/>
              </w:rPr>
              <w:t>L/Property</w:t>
            </w:r>
          </w:p>
        </w:tc>
        <w:tc>
          <w:tcPr>
            <w:tcW w:w="0" w:type="auto"/>
            <w:tcBorders>
              <w:left w:val="single" w:sz="4" w:space="0" w:color="BFBFBF"/>
              <w:bottom w:val="single" w:sz="4" w:space="0" w:color="BFBFBF"/>
            </w:tcBorders>
            <w:tcMar>
              <w:top w:w="0" w:type="dxa"/>
              <w:left w:w="108" w:type="dxa"/>
              <w:bottom w:w="0" w:type="dxa"/>
              <w:right w:w="108" w:type="dxa"/>
            </w:tcMar>
            <w:hideMark/>
          </w:tcPr>
          <w:p w14:paraId="6E29F430" w14:textId="77777777" w:rsidR="00242103" w:rsidRDefault="00EF66CB">
            <w:pPr>
              <w:rPr>
                <w:color w:val="000000"/>
              </w:rPr>
            </w:pPr>
            <w:r>
              <w:rPr>
                <w:rFonts w:ascii="Brown" w:eastAsia="Brown" w:hAnsi="Brown" w:cs="Brown"/>
                <w:b/>
                <w:bCs/>
                <w:color w:val="000000"/>
              </w:rPr>
              <w:t>Bins Required</w:t>
            </w:r>
          </w:p>
        </w:tc>
      </w:tr>
      <w:tr w:rsidR="00242103" w14:paraId="0D862227" w14:textId="77777777">
        <w:tc>
          <w:tcPr>
            <w:tcW w:w="0" w:type="auto"/>
            <w:tcBorders>
              <w:top w:val="single" w:sz="4" w:space="0" w:color="BFBFBF"/>
              <w:bottom w:val="single" w:sz="4" w:space="0" w:color="BFBFBF"/>
              <w:right w:val="single" w:sz="4" w:space="0" w:color="BFBFBF"/>
            </w:tcBorders>
            <w:tcMar>
              <w:top w:w="0" w:type="dxa"/>
              <w:left w:w="108" w:type="dxa"/>
              <w:bottom w:w="0" w:type="dxa"/>
              <w:right w:w="108" w:type="dxa"/>
            </w:tcMar>
            <w:hideMark/>
          </w:tcPr>
          <w:p w14:paraId="7570FF57" w14:textId="77777777" w:rsidR="00242103" w:rsidRDefault="00EF66CB">
            <w:pPr>
              <w:rPr>
                <w:color w:val="000000"/>
              </w:rPr>
            </w:pPr>
            <w:r>
              <w:rPr>
                <w:rFonts w:ascii="Brown" w:eastAsia="Brown" w:hAnsi="Brown" w:cs="Brown"/>
                <w:color w:val="000000"/>
              </w:rPr>
              <w:t>Refuse</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0B00949C" w14:textId="77777777" w:rsidR="00242103" w:rsidRDefault="00EF66CB">
            <w:pPr>
              <w:rPr>
                <w:color w:val="000000"/>
              </w:rPr>
            </w:pPr>
            <w:r>
              <w:rPr>
                <w:rFonts w:ascii="Brown" w:eastAsia="Brown" w:hAnsi="Brown" w:cs="Brown"/>
                <w:color w:val="000000"/>
              </w:rPr>
              <w:t>6,160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3051DCA5" w14:textId="77777777" w:rsidR="00242103" w:rsidRDefault="00EF66CB">
            <w:pPr>
              <w:rPr>
                <w:color w:val="000000"/>
              </w:rPr>
            </w:pPr>
            <w:r>
              <w:rPr>
                <w:rFonts w:ascii="Brown" w:eastAsia="Brown" w:hAnsi="Brown" w:cs="Brown"/>
                <w:color w:val="000000"/>
              </w:rPr>
              <w:t>110</w:t>
            </w:r>
          </w:p>
        </w:tc>
        <w:tc>
          <w:tcPr>
            <w:tcW w:w="0" w:type="auto"/>
            <w:tcBorders>
              <w:top w:val="single" w:sz="4" w:space="0" w:color="BFBFBF"/>
              <w:left w:val="single" w:sz="4" w:space="0" w:color="BFBFBF"/>
              <w:bottom w:val="single" w:sz="4" w:space="0" w:color="BFBFBF"/>
            </w:tcBorders>
            <w:tcMar>
              <w:top w:w="0" w:type="dxa"/>
              <w:left w:w="108" w:type="dxa"/>
              <w:bottom w:w="0" w:type="dxa"/>
              <w:right w:w="108" w:type="dxa"/>
            </w:tcMar>
            <w:hideMark/>
          </w:tcPr>
          <w:p w14:paraId="4F8A73B7" w14:textId="77777777" w:rsidR="00242103" w:rsidRDefault="00EF66CB">
            <w:pPr>
              <w:rPr>
                <w:color w:val="000000"/>
              </w:rPr>
            </w:pPr>
            <w:r>
              <w:rPr>
                <w:rFonts w:ascii="Brown" w:eastAsia="Brown" w:hAnsi="Brown" w:cs="Brown"/>
                <w:color w:val="000000"/>
              </w:rPr>
              <w:t>14</w:t>
            </w:r>
          </w:p>
        </w:tc>
      </w:tr>
      <w:tr w:rsidR="00242103" w14:paraId="414D93CD" w14:textId="77777777">
        <w:tc>
          <w:tcPr>
            <w:tcW w:w="0" w:type="auto"/>
            <w:tcBorders>
              <w:top w:val="single" w:sz="4" w:space="0" w:color="BFBFBF"/>
              <w:bottom w:val="single" w:sz="4" w:space="0" w:color="BFBFBF"/>
              <w:right w:val="single" w:sz="4" w:space="0" w:color="BFBFBF"/>
            </w:tcBorders>
            <w:tcMar>
              <w:top w:w="0" w:type="dxa"/>
              <w:left w:w="108" w:type="dxa"/>
              <w:bottom w:w="0" w:type="dxa"/>
              <w:right w:w="108" w:type="dxa"/>
            </w:tcMar>
            <w:hideMark/>
          </w:tcPr>
          <w:p w14:paraId="6DD8F081" w14:textId="77777777" w:rsidR="00242103" w:rsidRDefault="00EF66CB">
            <w:pPr>
              <w:rPr>
                <w:color w:val="000000"/>
              </w:rPr>
            </w:pPr>
            <w:r>
              <w:rPr>
                <w:rFonts w:ascii="Brown" w:eastAsia="Brown" w:hAnsi="Brown" w:cs="Brown"/>
                <w:color w:val="000000"/>
              </w:rPr>
              <w:t>Pulpable</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368F89DD" w14:textId="77777777" w:rsidR="00242103" w:rsidRDefault="00EF66CB">
            <w:pPr>
              <w:rPr>
                <w:color w:val="000000"/>
              </w:rPr>
            </w:pPr>
            <w:r>
              <w:rPr>
                <w:rFonts w:ascii="Brown" w:eastAsia="Brown" w:hAnsi="Brown" w:cs="Brown"/>
                <w:color w:val="000000"/>
              </w:rPr>
              <w:t>3,080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3BA8A6A5" w14:textId="77777777" w:rsidR="00242103" w:rsidRDefault="00EF66CB">
            <w:pPr>
              <w:rPr>
                <w:color w:val="000000"/>
              </w:rPr>
            </w:pPr>
            <w:r>
              <w:rPr>
                <w:rFonts w:ascii="Brown" w:eastAsia="Brown" w:hAnsi="Brown" w:cs="Brown"/>
                <w:color w:val="000000"/>
              </w:rPr>
              <w:t>55</w:t>
            </w:r>
          </w:p>
        </w:tc>
        <w:tc>
          <w:tcPr>
            <w:tcW w:w="0" w:type="auto"/>
            <w:tcBorders>
              <w:top w:val="single" w:sz="4" w:space="0" w:color="BFBFBF"/>
              <w:left w:val="single" w:sz="4" w:space="0" w:color="BFBFBF"/>
              <w:bottom w:val="single" w:sz="4" w:space="0" w:color="BFBFBF"/>
            </w:tcBorders>
            <w:tcMar>
              <w:top w:w="0" w:type="dxa"/>
              <w:left w:w="108" w:type="dxa"/>
              <w:bottom w:w="0" w:type="dxa"/>
              <w:right w:w="108" w:type="dxa"/>
            </w:tcMar>
            <w:hideMark/>
          </w:tcPr>
          <w:p w14:paraId="500DED18" w14:textId="77777777" w:rsidR="00242103" w:rsidRDefault="00EF66CB">
            <w:pPr>
              <w:rPr>
                <w:color w:val="000000"/>
              </w:rPr>
            </w:pPr>
            <w:r>
              <w:rPr>
                <w:rFonts w:ascii="Brown" w:eastAsia="Brown" w:hAnsi="Brown" w:cs="Brown"/>
                <w:color w:val="000000"/>
              </w:rPr>
              <w:t>7</w:t>
            </w:r>
          </w:p>
        </w:tc>
      </w:tr>
      <w:tr w:rsidR="00242103" w14:paraId="0AC5EC1A" w14:textId="77777777">
        <w:tc>
          <w:tcPr>
            <w:tcW w:w="0" w:type="auto"/>
            <w:tcBorders>
              <w:top w:val="single" w:sz="4" w:space="0" w:color="BFBFBF"/>
              <w:bottom w:val="single" w:sz="4" w:space="0" w:color="BFBFBF"/>
              <w:right w:val="single" w:sz="4" w:space="0" w:color="BFBFBF"/>
            </w:tcBorders>
            <w:tcMar>
              <w:top w:w="0" w:type="dxa"/>
              <w:left w:w="108" w:type="dxa"/>
              <w:bottom w:w="0" w:type="dxa"/>
              <w:right w:w="108" w:type="dxa"/>
            </w:tcMar>
            <w:hideMark/>
          </w:tcPr>
          <w:p w14:paraId="582BF065" w14:textId="77777777" w:rsidR="00242103" w:rsidRDefault="00EF66CB">
            <w:pPr>
              <w:rPr>
                <w:color w:val="000000"/>
              </w:rPr>
            </w:pPr>
            <w:r>
              <w:rPr>
                <w:rFonts w:ascii="Brown" w:eastAsia="Brown" w:hAnsi="Brown" w:cs="Brown"/>
                <w:color w:val="000000"/>
              </w:rPr>
              <w:t>Co-mingled</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28B23320" w14:textId="77777777" w:rsidR="00242103" w:rsidRDefault="00EF66CB">
            <w:pPr>
              <w:rPr>
                <w:color w:val="000000"/>
              </w:rPr>
            </w:pPr>
            <w:r>
              <w:rPr>
                <w:rFonts w:ascii="Brown" w:eastAsia="Brown" w:hAnsi="Brown" w:cs="Brown"/>
                <w:color w:val="000000"/>
              </w:rPr>
              <w:t>3,080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76023B2" w14:textId="77777777" w:rsidR="00242103" w:rsidRDefault="00EF66CB">
            <w:pPr>
              <w:rPr>
                <w:color w:val="000000"/>
              </w:rPr>
            </w:pPr>
            <w:r>
              <w:rPr>
                <w:rFonts w:ascii="Brown" w:eastAsia="Brown" w:hAnsi="Brown" w:cs="Brown"/>
                <w:color w:val="000000"/>
              </w:rPr>
              <w:t>55</w:t>
            </w:r>
          </w:p>
        </w:tc>
        <w:tc>
          <w:tcPr>
            <w:tcW w:w="0" w:type="auto"/>
            <w:tcBorders>
              <w:top w:val="single" w:sz="4" w:space="0" w:color="BFBFBF"/>
              <w:left w:val="single" w:sz="4" w:space="0" w:color="BFBFBF"/>
              <w:bottom w:val="single" w:sz="4" w:space="0" w:color="BFBFBF"/>
            </w:tcBorders>
            <w:tcMar>
              <w:top w:w="0" w:type="dxa"/>
              <w:left w:w="108" w:type="dxa"/>
              <w:bottom w:w="0" w:type="dxa"/>
              <w:right w:w="108" w:type="dxa"/>
            </w:tcMar>
            <w:hideMark/>
          </w:tcPr>
          <w:p w14:paraId="1E465209" w14:textId="77777777" w:rsidR="00242103" w:rsidRDefault="00EF66CB">
            <w:pPr>
              <w:rPr>
                <w:color w:val="000000"/>
              </w:rPr>
            </w:pPr>
            <w:r>
              <w:rPr>
                <w:rFonts w:ascii="Brown" w:eastAsia="Brown" w:hAnsi="Brown" w:cs="Brown"/>
                <w:color w:val="000000"/>
              </w:rPr>
              <w:t>7</w:t>
            </w:r>
          </w:p>
        </w:tc>
      </w:tr>
      <w:tr w:rsidR="00242103" w14:paraId="2EE2842A" w14:textId="77777777">
        <w:tc>
          <w:tcPr>
            <w:tcW w:w="0" w:type="auto"/>
            <w:tcBorders>
              <w:top w:val="single" w:sz="4" w:space="0" w:color="BFBFBF"/>
              <w:right w:val="single" w:sz="4" w:space="0" w:color="BFBFBF"/>
            </w:tcBorders>
            <w:tcMar>
              <w:top w:w="0" w:type="dxa"/>
              <w:left w:w="108" w:type="dxa"/>
              <w:bottom w:w="0" w:type="dxa"/>
              <w:right w:w="108" w:type="dxa"/>
            </w:tcMar>
            <w:hideMark/>
          </w:tcPr>
          <w:p w14:paraId="65FF6A33" w14:textId="77777777" w:rsidR="00242103" w:rsidRDefault="00EF66CB">
            <w:pPr>
              <w:rPr>
                <w:color w:val="000000"/>
              </w:rPr>
            </w:pPr>
            <w:r>
              <w:rPr>
                <w:rFonts w:ascii="Brown" w:eastAsia="Brown" w:hAnsi="Brown" w:cs="Brown"/>
                <w:color w:val="000000"/>
              </w:rPr>
              <w:t>Organic</w:t>
            </w:r>
          </w:p>
        </w:tc>
        <w:tc>
          <w:tcPr>
            <w:tcW w:w="0" w:type="auto"/>
            <w:tcBorders>
              <w:top w:val="single" w:sz="4" w:space="0" w:color="BFBFBF"/>
              <w:left w:val="single" w:sz="4" w:space="0" w:color="BFBFBF"/>
              <w:right w:val="single" w:sz="4" w:space="0" w:color="BFBFBF"/>
            </w:tcBorders>
            <w:tcMar>
              <w:top w:w="0" w:type="dxa"/>
              <w:left w:w="108" w:type="dxa"/>
              <w:bottom w:w="0" w:type="dxa"/>
              <w:right w:w="108" w:type="dxa"/>
            </w:tcMar>
            <w:hideMark/>
          </w:tcPr>
          <w:p w14:paraId="129A0EAE" w14:textId="77777777" w:rsidR="00242103" w:rsidRDefault="00EF66CB">
            <w:pPr>
              <w:rPr>
                <w:color w:val="000000"/>
              </w:rPr>
            </w:pPr>
            <w:r>
              <w:rPr>
                <w:rFonts w:ascii="Brown" w:eastAsia="Brown" w:hAnsi="Brown" w:cs="Brown"/>
                <w:color w:val="000000"/>
              </w:rPr>
              <w:t>280</w:t>
            </w:r>
          </w:p>
        </w:tc>
        <w:tc>
          <w:tcPr>
            <w:tcW w:w="0" w:type="auto"/>
            <w:tcBorders>
              <w:top w:val="single" w:sz="4" w:space="0" w:color="BFBFBF"/>
              <w:left w:val="single" w:sz="4" w:space="0" w:color="BFBFBF"/>
              <w:right w:val="single" w:sz="4" w:space="0" w:color="BFBFBF"/>
            </w:tcBorders>
            <w:tcMar>
              <w:top w:w="0" w:type="dxa"/>
              <w:left w:w="108" w:type="dxa"/>
              <w:bottom w:w="0" w:type="dxa"/>
              <w:right w:w="108" w:type="dxa"/>
            </w:tcMar>
            <w:hideMark/>
          </w:tcPr>
          <w:p w14:paraId="3B31EF1F" w14:textId="77777777" w:rsidR="00242103" w:rsidRDefault="00EF66CB">
            <w:pPr>
              <w:rPr>
                <w:color w:val="000000"/>
              </w:rPr>
            </w:pPr>
            <w:r>
              <w:rPr>
                <w:rFonts w:ascii="Brown" w:eastAsia="Brown" w:hAnsi="Brown" w:cs="Brown"/>
                <w:color w:val="000000"/>
              </w:rPr>
              <w:t>5</w:t>
            </w:r>
          </w:p>
        </w:tc>
        <w:tc>
          <w:tcPr>
            <w:tcW w:w="0" w:type="auto"/>
            <w:tcBorders>
              <w:top w:val="single" w:sz="4" w:space="0" w:color="BFBFBF"/>
              <w:left w:val="single" w:sz="4" w:space="0" w:color="BFBFBF"/>
            </w:tcBorders>
            <w:tcMar>
              <w:top w:w="0" w:type="dxa"/>
              <w:left w:w="108" w:type="dxa"/>
              <w:bottom w:w="0" w:type="dxa"/>
              <w:right w:w="108" w:type="dxa"/>
            </w:tcMar>
            <w:hideMark/>
          </w:tcPr>
          <w:p w14:paraId="05AF3DCD" w14:textId="77777777" w:rsidR="00242103" w:rsidRDefault="00EF66CB">
            <w:pPr>
              <w:rPr>
                <w:color w:val="000000"/>
              </w:rPr>
            </w:pPr>
            <w:r>
              <w:rPr>
                <w:rFonts w:ascii="Brown" w:eastAsia="Brown" w:hAnsi="Brown" w:cs="Brown"/>
                <w:color w:val="000000"/>
              </w:rPr>
              <w:t>2</w:t>
            </w:r>
          </w:p>
        </w:tc>
      </w:tr>
    </w:tbl>
    <w:p w14:paraId="42F51CEB" w14:textId="77777777" w:rsidR="00242103" w:rsidRDefault="00242103">
      <w:pPr>
        <w:rPr>
          <w:rFonts w:ascii="Brown" w:eastAsia="Brown" w:hAnsi="Brown" w:cs="Brown"/>
        </w:rPr>
      </w:pPr>
    </w:p>
    <w:p w14:paraId="50633F28" w14:textId="77777777" w:rsidR="00242103" w:rsidRDefault="00EF66CB">
      <w:r>
        <w:rPr>
          <w:rFonts w:ascii="Brown" w:eastAsia="Brown" w:hAnsi="Brown" w:cs="Brown"/>
        </w:rPr>
        <w:t>Bins are wheeled containers with hinged lids, suitable for manual handling and mechanical emptying.</w:t>
      </w:r>
    </w:p>
    <w:p w14:paraId="0A7ACEEE" w14:textId="77777777" w:rsidR="00242103" w:rsidRDefault="00242103">
      <w:pPr>
        <w:rPr>
          <w:rFonts w:ascii="Brown" w:eastAsia="Brown" w:hAnsi="Brown" w:cs="Brown"/>
        </w:rPr>
      </w:pPr>
    </w:p>
    <w:p w14:paraId="24613B6E" w14:textId="77777777" w:rsidR="00242103" w:rsidRDefault="00EF66CB">
      <w:pPr>
        <w:pStyle w:val="Heading2"/>
        <w:rPr>
          <w:sz w:val="26"/>
          <w:szCs w:val="26"/>
        </w:rPr>
      </w:pPr>
      <w:r>
        <w:rPr>
          <w:rFonts w:ascii="Brown" w:eastAsia="Brown" w:hAnsi="Brown" w:cs="Brown"/>
          <w:b w:val="0"/>
          <w:bCs w:val="0"/>
          <w:color w:val="1F8787"/>
          <w:sz w:val="26"/>
          <w:szCs w:val="26"/>
        </w:rPr>
        <w:t>Resident Waste Management</w:t>
      </w:r>
    </w:p>
    <w:p w14:paraId="4131C2ED" w14:textId="464E9576" w:rsidR="00242103" w:rsidRDefault="00EF66CB">
      <w:r>
        <w:rPr>
          <w:rFonts w:ascii="Brown" w:eastAsia="Brown" w:hAnsi="Brown" w:cs="Brown"/>
        </w:rPr>
        <w:t>Residents will deposit waste into communal refuse stores located at ground floor level.</w:t>
      </w:r>
      <w:r w:rsidR="00567348">
        <w:rPr>
          <w:rFonts w:ascii="Brown" w:eastAsia="Brown" w:hAnsi="Brown" w:cs="Brown"/>
        </w:rPr>
        <w:t xml:space="preserve"> </w:t>
      </w:r>
    </w:p>
    <w:p w14:paraId="2D0FE161" w14:textId="77777777" w:rsidR="00242103" w:rsidRDefault="00242103">
      <w:pPr>
        <w:rPr>
          <w:rFonts w:ascii="Brown" w:eastAsia="Brown" w:hAnsi="Brown" w:cs="Brown"/>
        </w:rPr>
      </w:pPr>
    </w:p>
    <w:p w14:paraId="55461390" w14:textId="77777777" w:rsidR="00242103" w:rsidRDefault="00EF66CB">
      <w:r>
        <w:rPr>
          <w:rFonts w:ascii="Brown" w:eastAsia="Brown" w:hAnsi="Brown" w:cs="Brown"/>
        </w:rPr>
        <w:t>Waste will be transported from apartments via lifts or stairs. Refuse stores are positioned adjacent to lift lobbies and along natural circulation routes to encourage ease of use and compliance.</w:t>
      </w:r>
    </w:p>
    <w:p w14:paraId="7C696688" w14:textId="77777777" w:rsidR="00242103" w:rsidRDefault="00242103">
      <w:pPr>
        <w:rPr>
          <w:rFonts w:ascii="Brown" w:eastAsia="Brown" w:hAnsi="Brown" w:cs="Brown"/>
        </w:rPr>
      </w:pPr>
    </w:p>
    <w:p w14:paraId="728F6CD5" w14:textId="77777777" w:rsidR="00242103" w:rsidRDefault="00EF66CB">
      <w:r>
        <w:rPr>
          <w:rFonts w:ascii="Brown" w:eastAsia="Brown" w:hAnsi="Brown" w:cs="Brown"/>
        </w:rPr>
        <w:t>The layout ensures waste is not stored within residential corridors and supports efficient building management operations.</w:t>
      </w:r>
    </w:p>
    <w:p w14:paraId="034F2A48" w14:textId="77777777" w:rsidR="00242103" w:rsidRDefault="00242103">
      <w:pPr>
        <w:rPr>
          <w:rFonts w:ascii="Brown" w:eastAsia="Brown" w:hAnsi="Brown" w:cs="Brown"/>
        </w:rPr>
      </w:pPr>
    </w:p>
    <w:p w14:paraId="0F15CC39" w14:textId="4FC897DF" w:rsidR="00242103" w:rsidRPr="00567348" w:rsidRDefault="00EF66CB">
      <w:pPr>
        <w:rPr>
          <w:color w:val="000000" w:themeColor="text1"/>
        </w:rPr>
      </w:pPr>
      <w:r w:rsidRPr="00567348">
        <w:rPr>
          <w:rFonts w:ascii="Brown" w:eastAsia="Brown" w:hAnsi="Brown" w:cs="Brown"/>
          <w:color w:val="000000" w:themeColor="text1"/>
        </w:rPr>
        <w:t xml:space="preserve">Site operatives will ensure collection bins are rotated within the refuse rooms to avoid overfill and maintain clear and free access for both residents and operatives between collection days. </w:t>
      </w:r>
      <w:r w:rsidR="00567348">
        <w:rPr>
          <w:rFonts w:ascii="Brown" w:eastAsia="Brown" w:hAnsi="Brown" w:cs="Brown"/>
        </w:rPr>
        <w:t>Please refer to drawings 8198-LRW-B2-ZZ-DR-A80-100_C01 and 8198-LRW-B1-ZZ-DR-A80-100_C01for the refuse room layouts.</w:t>
      </w:r>
    </w:p>
    <w:p w14:paraId="3E7631B4" w14:textId="77777777" w:rsidR="00242103" w:rsidRDefault="00242103">
      <w:pPr>
        <w:pStyle w:val="Heading2"/>
        <w:rPr>
          <w:rFonts w:ascii="Brown" w:eastAsia="Brown" w:hAnsi="Brown" w:cs="Brown"/>
          <w:b w:val="0"/>
          <w:bCs w:val="0"/>
          <w:color w:val="1F8787"/>
          <w:sz w:val="26"/>
          <w:szCs w:val="26"/>
        </w:rPr>
      </w:pPr>
    </w:p>
    <w:p w14:paraId="575DA420" w14:textId="77777777" w:rsidR="00242103" w:rsidRDefault="00EF66CB">
      <w:pPr>
        <w:pStyle w:val="Heading2"/>
        <w:rPr>
          <w:sz w:val="26"/>
          <w:szCs w:val="26"/>
        </w:rPr>
      </w:pPr>
      <w:r>
        <w:rPr>
          <w:rFonts w:ascii="Brown" w:eastAsia="Brown" w:hAnsi="Brown" w:cs="Brown"/>
          <w:b w:val="0"/>
          <w:bCs w:val="0"/>
          <w:color w:val="1F8787"/>
          <w:sz w:val="26"/>
          <w:szCs w:val="26"/>
        </w:rPr>
        <w:t>Waste Collection and Operational Management</w:t>
      </w:r>
    </w:p>
    <w:p w14:paraId="3E6E4262" w14:textId="77777777" w:rsidR="00242103" w:rsidRDefault="00242103"/>
    <w:p w14:paraId="26F56C84" w14:textId="77777777" w:rsidR="00242103" w:rsidRPr="00567348" w:rsidRDefault="00EF66CB">
      <w:pPr>
        <w:rPr>
          <w:color w:val="000000" w:themeColor="text1"/>
        </w:rPr>
      </w:pPr>
      <w:r w:rsidRPr="00567348">
        <w:rPr>
          <w:color w:val="000000" w:themeColor="text1"/>
        </w:rPr>
        <w:t xml:space="preserve">It is anticipated general waste collections will be fortnightly by the Council on a Monday. Where required, and subject to occupancy, additional private collections will be </w:t>
      </w:r>
      <w:proofErr w:type="spellStart"/>
      <w:r w:rsidRPr="00567348">
        <w:rPr>
          <w:color w:val="000000" w:themeColor="text1"/>
        </w:rPr>
        <w:t>organised</w:t>
      </w:r>
      <w:proofErr w:type="spellEnd"/>
      <w:r w:rsidRPr="00567348">
        <w:rPr>
          <w:color w:val="000000" w:themeColor="text1"/>
        </w:rPr>
        <w:t xml:space="preserve"> to prevent bin overflow. </w:t>
      </w:r>
    </w:p>
    <w:p w14:paraId="3050BF4C" w14:textId="77777777" w:rsidR="00242103" w:rsidRPr="00567348" w:rsidRDefault="00242103">
      <w:pPr>
        <w:rPr>
          <w:color w:val="000000" w:themeColor="text1"/>
        </w:rPr>
      </w:pPr>
    </w:p>
    <w:p w14:paraId="24C79B0E" w14:textId="77777777" w:rsidR="00242103" w:rsidRPr="00567348" w:rsidRDefault="00EF66CB">
      <w:pPr>
        <w:rPr>
          <w:color w:val="000000" w:themeColor="text1"/>
        </w:rPr>
      </w:pPr>
      <w:r w:rsidRPr="00567348">
        <w:rPr>
          <w:color w:val="000000" w:themeColor="text1"/>
        </w:rPr>
        <w:t xml:space="preserve">Resident communications will be displayed in the refuse room providing guidance to residents on waste splitting, as well as to encourage recycling. </w:t>
      </w:r>
    </w:p>
    <w:p w14:paraId="189436C3" w14:textId="77777777" w:rsidR="00242103" w:rsidRDefault="00242103">
      <w:pPr>
        <w:rPr>
          <w:rFonts w:ascii="Brown" w:eastAsia="Brown" w:hAnsi="Brown" w:cs="Brown"/>
          <w:color w:val="1F8787"/>
          <w:sz w:val="26"/>
          <w:szCs w:val="26"/>
        </w:rPr>
      </w:pPr>
    </w:p>
    <w:p w14:paraId="0905A60B" w14:textId="77777777" w:rsidR="00242103" w:rsidRDefault="00EF66CB">
      <w:r>
        <w:rPr>
          <w:rFonts w:ascii="Brown" w:eastAsia="Brown" w:hAnsi="Brown" w:cs="Brown"/>
        </w:rPr>
        <w:t>On collection days:</w:t>
      </w:r>
    </w:p>
    <w:p w14:paraId="38BFA73F" w14:textId="60677F79" w:rsidR="00242103" w:rsidRDefault="00EF66CB">
      <w:pPr>
        <w:numPr>
          <w:ilvl w:val="0"/>
          <w:numId w:val="5"/>
        </w:numPr>
        <w:pBdr>
          <w:left w:val="none" w:sz="0" w:space="7" w:color="auto"/>
        </w:pBdr>
        <w:ind w:hanging="436"/>
        <w:rPr>
          <w:rFonts w:ascii="Times New Roman" w:eastAsia="Times New Roman" w:hAnsi="Times New Roman" w:cs="Times New Roman"/>
        </w:rPr>
      </w:pPr>
      <w:r>
        <w:rPr>
          <w:rFonts w:ascii="Brown" w:eastAsia="Brown" w:hAnsi="Brown" w:cs="Brown"/>
        </w:rPr>
        <w:t xml:space="preserve">Refuse operatives will collect bins directly from stores where access permits, </w:t>
      </w:r>
      <w:r w:rsidRPr="001716CE">
        <w:rPr>
          <w:rFonts w:ascii="Brown" w:eastAsia="Brown" w:hAnsi="Brown" w:cs="Brown"/>
          <w:b/>
          <w:bCs/>
          <w:u w:val="single"/>
        </w:rPr>
        <w:t>or</w:t>
      </w:r>
      <w:r>
        <w:rPr>
          <w:rFonts w:ascii="Brown" w:eastAsia="Brown" w:hAnsi="Brown" w:cs="Brown"/>
        </w:rPr>
        <w:t xml:space="preserve"> the on-site management team will present bins at the designated presentation point</w:t>
      </w:r>
      <w:r w:rsidR="00FE422B">
        <w:rPr>
          <w:rFonts w:ascii="Brown" w:eastAsia="Brown" w:hAnsi="Brown" w:cs="Brown"/>
        </w:rPr>
        <w:t xml:space="preserve">s indicated by the green dashed lines </w:t>
      </w:r>
      <w:r w:rsidR="00567348">
        <w:rPr>
          <w:rFonts w:ascii="Brown" w:eastAsia="Brown" w:hAnsi="Brown" w:cs="Brown"/>
          <w:color w:val="000000" w:themeColor="text1"/>
        </w:rPr>
        <w:t xml:space="preserve">on drawing </w:t>
      </w:r>
      <w:r w:rsidR="00FE422B">
        <w:rPr>
          <w:rFonts w:ascii="Brown" w:eastAsia="Brown" w:hAnsi="Brown" w:cs="Brown"/>
          <w:color w:val="000000" w:themeColor="text1"/>
        </w:rPr>
        <w:t>8198-LRW-ZZ-00-DR-A-90-140</w:t>
      </w:r>
      <w:r w:rsidR="00567348">
        <w:rPr>
          <w:rFonts w:ascii="Brown" w:eastAsia="Brown" w:hAnsi="Brown" w:cs="Brown"/>
          <w:color w:val="000000" w:themeColor="text1"/>
        </w:rPr>
        <w:t>.</w:t>
      </w:r>
      <w:r w:rsidR="00FE422B">
        <w:rPr>
          <w:rFonts w:ascii="Brown" w:eastAsia="Brown" w:hAnsi="Brown" w:cs="Brown"/>
          <w:color w:val="000000" w:themeColor="text1"/>
        </w:rPr>
        <w:t xml:space="preserve"> At such point the refuse collection operatives will transfer the bins to the refuse lorries. At no point will refuse bins be stored awaiting collection on any part of the adopted highway. </w:t>
      </w:r>
    </w:p>
    <w:p w14:paraId="2B7FFF05" w14:textId="4E2BC407" w:rsidR="00242103" w:rsidRPr="00FE422B" w:rsidRDefault="00EF66CB">
      <w:pPr>
        <w:numPr>
          <w:ilvl w:val="0"/>
          <w:numId w:val="5"/>
        </w:numPr>
        <w:pBdr>
          <w:left w:val="none" w:sz="0" w:space="7" w:color="auto"/>
        </w:pBdr>
        <w:ind w:hanging="436"/>
        <w:rPr>
          <w:rFonts w:ascii="Times New Roman" w:eastAsia="Times New Roman" w:hAnsi="Times New Roman" w:cs="Times New Roman"/>
        </w:rPr>
      </w:pPr>
      <w:r>
        <w:rPr>
          <w:rFonts w:ascii="Brown" w:eastAsia="Brown" w:hAnsi="Brown" w:cs="Brown"/>
        </w:rPr>
        <w:t>Bins will be moved via designated service routes through secure double doors from refuse stores</w:t>
      </w:r>
      <w:r>
        <w:rPr>
          <w:rFonts w:ascii="Brown" w:eastAsia="Brown" w:hAnsi="Brown" w:cs="Brown"/>
          <w:color w:val="B5082E"/>
        </w:rPr>
        <w:t xml:space="preserve"> </w:t>
      </w:r>
      <w:r w:rsidRPr="00567348">
        <w:rPr>
          <w:rFonts w:ascii="Brown" w:eastAsia="Brown" w:hAnsi="Brown" w:cs="Brown"/>
          <w:color w:val="000000" w:themeColor="text1"/>
        </w:rPr>
        <w:t xml:space="preserve">to </w:t>
      </w:r>
      <w:r w:rsidR="00567348">
        <w:rPr>
          <w:rFonts w:ascii="Brown" w:eastAsia="Brown" w:hAnsi="Brown" w:cs="Brown"/>
          <w:color w:val="000000" w:themeColor="text1"/>
        </w:rPr>
        <w:t>points mentioned above</w:t>
      </w:r>
      <w:r w:rsidR="00FE422B">
        <w:rPr>
          <w:rFonts w:ascii="Brown" w:eastAsia="Brown" w:hAnsi="Brown" w:cs="Brown"/>
          <w:color w:val="000000" w:themeColor="text1"/>
        </w:rPr>
        <w:t>, again as indicated by the green dashed lines on the above mentioned drawing.</w:t>
      </w:r>
    </w:p>
    <w:p w14:paraId="6B5173CA" w14:textId="77777777" w:rsidR="00FE422B" w:rsidRDefault="00FE422B" w:rsidP="00FE422B">
      <w:pPr>
        <w:pBdr>
          <w:left w:val="none" w:sz="0" w:space="7" w:color="auto"/>
        </w:pBdr>
        <w:rPr>
          <w:rFonts w:ascii="Brown" w:eastAsia="Brown" w:hAnsi="Brown" w:cs="Brown"/>
          <w:color w:val="000000" w:themeColor="text1"/>
        </w:rPr>
      </w:pPr>
    </w:p>
    <w:p w14:paraId="149B1C6B" w14:textId="77777777" w:rsidR="00FE422B" w:rsidRDefault="00FE422B" w:rsidP="00FE422B">
      <w:pPr>
        <w:pBdr>
          <w:left w:val="none" w:sz="0" w:space="7" w:color="auto"/>
        </w:pBdr>
        <w:rPr>
          <w:rFonts w:ascii="Brown" w:eastAsia="Brown" w:hAnsi="Brown" w:cs="Brown"/>
          <w:color w:val="000000" w:themeColor="text1"/>
        </w:rPr>
      </w:pPr>
    </w:p>
    <w:p w14:paraId="4F490019" w14:textId="77777777" w:rsidR="00FE422B" w:rsidRDefault="00FE422B" w:rsidP="00FE422B">
      <w:pPr>
        <w:pBdr>
          <w:left w:val="none" w:sz="0" w:space="7" w:color="auto"/>
        </w:pBdr>
        <w:rPr>
          <w:rFonts w:ascii="Times New Roman" w:eastAsia="Times New Roman" w:hAnsi="Times New Roman" w:cs="Times New Roman"/>
        </w:rPr>
      </w:pPr>
    </w:p>
    <w:p w14:paraId="68672234" w14:textId="77777777" w:rsidR="00242103" w:rsidRDefault="00EF66CB">
      <w:pPr>
        <w:numPr>
          <w:ilvl w:val="0"/>
          <w:numId w:val="5"/>
        </w:numPr>
        <w:pBdr>
          <w:left w:val="none" w:sz="0" w:space="7" w:color="auto"/>
        </w:pBdr>
        <w:ind w:hanging="436"/>
        <w:rPr>
          <w:rFonts w:ascii="Times New Roman" w:eastAsia="Times New Roman" w:hAnsi="Times New Roman" w:cs="Times New Roman"/>
        </w:rPr>
      </w:pPr>
      <w:r>
        <w:rPr>
          <w:rFonts w:ascii="Brown" w:eastAsia="Brown" w:hAnsi="Brown" w:cs="Brown"/>
        </w:rPr>
        <w:t>All external bin movements will be supervised by the on-site management team to ensure safe operation, prevent obstruction, and maintain cleanliness.</w:t>
      </w:r>
    </w:p>
    <w:p w14:paraId="5798185B" w14:textId="77777777" w:rsidR="00242103" w:rsidRDefault="00EF66CB">
      <w:pPr>
        <w:numPr>
          <w:ilvl w:val="0"/>
          <w:numId w:val="5"/>
        </w:numPr>
        <w:pBdr>
          <w:left w:val="none" w:sz="0" w:space="7" w:color="auto"/>
        </w:pBdr>
        <w:ind w:hanging="436"/>
        <w:rPr>
          <w:rFonts w:ascii="Times New Roman" w:eastAsia="Times New Roman" w:hAnsi="Times New Roman" w:cs="Times New Roman"/>
        </w:rPr>
      </w:pPr>
      <w:r>
        <w:rPr>
          <w:rFonts w:ascii="Brown" w:eastAsia="Brown" w:hAnsi="Brown" w:cs="Brown"/>
        </w:rPr>
        <w:t>Any spillages occurring during transit will be promptly cleaned by the management team.</w:t>
      </w:r>
    </w:p>
    <w:p w14:paraId="00EB3161" w14:textId="77777777" w:rsidR="00242103" w:rsidRDefault="00242103">
      <w:pPr>
        <w:rPr>
          <w:rFonts w:ascii="Brown" w:eastAsia="Brown" w:hAnsi="Brown" w:cs="Brown"/>
        </w:rPr>
      </w:pPr>
    </w:p>
    <w:p w14:paraId="59D2134E" w14:textId="77777777" w:rsidR="00242103" w:rsidRDefault="00EF66CB">
      <w:pPr>
        <w:pStyle w:val="Heading2"/>
        <w:rPr>
          <w:sz w:val="26"/>
          <w:szCs w:val="26"/>
        </w:rPr>
      </w:pPr>
      <w:r>
        <w:rPr>
          <w:rFonts w:ascii="Brown" w:eastAsia="Brown" w:hAnsi="Brown" w:cs="Brown"/>
          <w:b w:val="0"/>
          <w:bCs w:val="0"/>
          <w:color w:val="1F8787"/>
          <w:sz w:val="26"/>
          <w:szCs w:val="26"/>
        </w:rPr>
        <w:t>Retail / Commercial Waste</w:t>
      </w:r>
    </w:p>
    <w:p w14:paraId="6B3B7299" w14:textId="77777777" w:rsidR="00242103" w:rsidRDefault="00EF66CB">
      <w:r>
        <w:rPr>
          <w:rFonts w:ascii="Brown" w:eastAsia="Brown" w:hAnsi="Brown" w:cs="Brown"/>
        </w:rPr>
        <w:t>Separate waste provision will be provided for retail and ancillary commercial units once occupiers are confirmed.</w:t>
      </w:r>
    </w:p>
    <w:p w14:paraId="62A84606" w14:textId="77777777" w:rsidR="00242103" w:rsidRDefault="00242103">
      <w:pPr>
        <w:rPr>
          <w:rFonts w:ascii="Brown" w:eastAsia="Brown" w:hAnsi="Brown" w:cs="Brown"/>
        </w:rPr>
      </w:pPr>
    </w:p>
    <w:p w14:paraId="6C934A7D" w14:textId="77777777" w:rsidR="00242103" w:rsidRDefault="00EF66CB">
      <w:r>
        <w:rPr>
          <w:rFonts w:ascii="Brown" w:eastAsia="Brown" w:hAnsi="Brown" w:cs="Brown"/>
        </w:rPr>
        <w:t>It is assumed that commercial refuse storage will be accommodated within the building footprint and managed independently from residential waste streams.</w:t>
      </w:r>
    </w:p>
    <w:p w14:paraId="699D9658" w14:textId="77777777" w:rsidR="00242103" w:rsidRDefault="00242103">
      <w:pPr>
        <w:rPr>
          <w:rFonts w:ascii="Brown" w:eastAsia="Brown" w:hAnsi="Brown" w:cs="Brown"/>
        </w:rPr>
      </w:pPr>
    </w:p>
    <w:p w14:paraId="5D9D8E66" w14:textId="77777777" w:rsidR="00242103" w:rsidRDefault="00EF66CB">
      <w:pPr>
        <w:pStyle w:val="Heading1"/>
        <w:rPr>
          <w:sz w:val="32"/>
          <w:szCs w:val="32"/>
        </w:rPr>
      </w:pPr>
      <w:r>
        <w:rPr>
          <w:rFonts w:ascii="Brown" w:eastAsia="Brown" w:hAnsi="Brown" w:cs="Brown"/>
          <w:b w:val="0"/>
          <w:bCs w:val="0"/>
          <w:color w:val="1F8787"/>
          <w:sz w:val="32"/>
          <w:szCs w:val="32"/>
        </w:rPr>
        <w:t>Management Responsibilities</w:t>
      </w:r>
    </w:p>
    <w:p w14:paraId="006CD67F" w14:textId="77777777" w:rsidR="00242103" w:rsidRDefault="00EF66CB">
      <w:r>
        <w:rPr>
          <w:rFonts w:ascii="Brown" w:eastAsia="Brown" w:hAnsi="Brown" w:cs="Brown"/>
        </w:rPr>
        <w:t>The on-site management team will be responsible for implementing this strategy on a day-to-day basis, including:</w:t>
      </w:r>
    </w:p>
    <w:p w14:paraId="6A6D67C7" w14:textId="77777777" w:rsidR="00242103" w:rsidRDefault="00EF66CB">
      <w:pPr>
        <w:numPr>
          <w:ilvl w:val="0"/>
          <w:numId w:val="6"/>
        </w:numPr>
        <w:pBdr>
          <w:left w:val="none" w:sz="0" w:space="7" w:color="auto"/>
        </w:pBdr>
        <w:ind w:hanging="436"/>
        <w:rPr>
          <w:rFonts w:ascii="Times New Roman" w:eastAsia="Times New Roman" w:hAnsi="Times New Roman" w:cs="Times New Roman"/>
        </w:rPr>
      </w:pPr>
      <w:r>
        <w:rPr>
          <w:rFonts w:ascii="Brown" w:eastAsia="Brown" w:hAnsi="Brown" w:cs="Brown"/>
        </w:rPr>
        <w:t>Coordinating servicing and deliveries via a booking system</w:t>
      </w:r>
    </w:p>
    <w:p w14:paraId="02332C7E" w14:textId="77777777" w:rsidR="00242103" w:rsidRDefault="00EF66CB">
      <w:pPr>
        <w:numPr>
          <w:ilvl w:val="0"/>
          <w:numId w:val="6"/>
        </w:numPr>
        <w:pBdr>
          <w:left w:val="none" w:sz="0" w:space="7" w:color="auto"/>
        </w:pBdr>
        <w:ind w:hanging="436"/>
        <w:rPr>
          <w:rFonts w:ascii="Times New Roman" w:eastAsia="Times New Roman" w:hAnsi="Times New Roman" w:cs="Times New Roman"/>
        </w:rPr>
      </w:pPr>
      <w:r>
        <w:rPr>
          <w:rFonts w:ascii="Brown" w:eastAsia="Brown" w:hAnsi="Brown" w:cs="Brown"/>
        </w:rPr>
        <w:t>Managing contractor access and vehicle scheduling</w:t>
      </w:r>
    </w:p>
    <w:p w14:paraId="003E8BA2" w14:textId="77777777" w:rsidR="00242103" w:rsidRDefault="00EF66CB">
      <w:pPr>
        <w:numPr>
          <w:ilvl w:val="0"/>
          <w:numId w:val="6"/>
        </w:numPr>
        <w:pBdr>
          <w:left w:val="none" w:sz="0" w:space="7" w:color="auto"/>
        </w:pBdr>
        <w:ind w:hanging="436"/>
        <w:rPr>
          <w:rFonts w:ascii="Times New Roman" w:eastAsia="Times New Roman" w:hAnsi="Times New Roman" w:cs="Times New Roman"/>
        </w:rPr>
      </w:pPr>
      <w:r>
        <w:rPr>
          <w:rFonts w:ascii="Brown" w:eastAsia="Brown" w:hAnsi="Brown" w:cs="Brown"/>
        </w:rPr>
        <w:t>Supervising refuse movement and external presentation</w:t>
      </w:r>
    </w:p>
    <w:p w14:paraId="7A7F7F9F" w14:textId="77777777" w:rsidR="00242103" w:rsidRDefault="00EF66CB">
      <w:pPr>
        <w:numPr>
          <w:ilvl w:val="0"/>
          <w:numId w:val="6"/>
        </w:numPr>
        <w:pBdr>
          <w:left w:val="none" w:sz="0" w:space="7" w:color="auto"/>
        </w:pBdr>
        <w:ind w:hanging="436"/>
        <w:rPr>
          <w:rFonts w:ascii="Times New Roman" w:eastAsia="Times New Roman" w:hAnsi="Times New Roman" w:cs="Times New Roman"/>
        </w:rPr>
      </w:pPr>
      <w:r>
        <w:rPr>
          <w:rFonts w:ascii="Brown" w:eastAsia="Brown" w:hAnsi="Brown" w:cs="Brown"/>
        </w:rPr>
        <w:t>Ensuring servicing does not obstruct pedestrian or emergency routes</w:t>
      </w:r>
    </w:p>
    <w:p w14:paraId="084FE953" w14:textId="77777777" w:rsidR="00242103" w:rsidRDefault="00EF66CB">
      <w:pPr>
        <w:numPr>
          <w:ilvl w:val="0"/>
          <w:numId w:val="6"/>
        </w:numPr>
        <w:pBdr>
          <w:left w:val="none" w:sz="0" w:space="7" w:color="auto"/>
        </w:pBdr>
        <w:ind w:hanging="436"/>
        <w:rPr>
          <w:rFonts w:ascii="Times New Roman" w:eastAsia="Times New Roman" w:hAnsi="Times New Roman" w:cs="Times New Roman"/>
        </w:rPr>
      </w:pPr>
      <w:r>
        <w:rPr>
          <w:rFonts w:ascii="Brown" w:eastAsia="Brown" w:hAnsi="Brown" w:cs="Brown"/>
        </w:rPr>
        <w:t>Maintaining cleanliness of refuse stores and external areas</w:t>
      </w:r>
    </w:p>
    <w:p w14:paraId="7CB6D477" w14:textId="77777777" w:rsidR="00242103" w:rsidRDefault="00EF66CB">
      <w:pPr>
        <w:numPr>
          <w:ilvl w:val="0"/>
          <w:numId w:val="6"/>
        </w:numPr>
        <w:pBdr>
          <w:left w:val="none" w:sz="0" w:space="7" w:color="auto"/>
        </w:pBdr>
        <w:ind w:hanging="436"/>
        <w:rPr>
          <w:rFonts w:ascii="Times New Roman" w:eastAsia="Times New Roman" w:hAnsi="Times New Roman" w:cs="Times New Roman"/>
        </w:rPr>
      </w:pPr>
      <w:r>
        <w:rPr>
          <w:rFonts w:ascii="Brown" w:eastAsia="Brown" w:hAnsi="Brown" w:cs="Brown"/>
        </w:rPr>
        <w:t>Monitoring waste performance and contamination</w:t>
      </w:r>
    </w:p>
    <w:p w14:paraId="0D01C5BB" w14:textId="77777777" w:rsidR="00242103" w:rsidRDefault="00EF66CB">
      <w:pPr>
        <w:numPr>
          <w:ilvl w:val="0"/>
          <w:numId w:val="6"/>
        </w:numPr>
        <w:pBdr>
          <w:left w:val="none" w:sz="0" w:space="7" w:color="auto"/>
        </w:pBdr>
        <w:ind w:hanging="436"/>
        <w:rPr>
          <w:rFonts w:ascii="Times New Roman" w:eastAsia="Times New Roman" w:hAnsi="Times New Roman" w:cs="Times New Roman"/>
        </w:rPr>
      </w:pPr>
      <w:r>
        <w:rPr>
          <w:rFonts w:ascii="Brown" w:eastAsia="Brown" w:hAnsi="Brown" w:cs="Brown"/>
        </w:rPr>
        <w:t>Liaising with waste contractors and local authority services</w:t>
      </w:r>
    </w:p>
    <w:p w14:paraId="180B4B03" w14:textId="77777777" w:rsidR="00242103" w:rsidRDefault="00EF66CB">
      <w:pPr>
        <w:numPr>
          <w:ilvl w:val="0"/>
          <w:numId w:val="6"/>
        </w:numPr>
        <w:pBdr>
          <w:left w:val="none" w:sz="0" w:space="7" w:color="auto"/>
        </w:pBdr>
        <w:ind w:hanging="436"/>
        <w:rPr>
          <w:rFonts w:ascii="Times New Roman" w:eastAsia="Times New Roman" w:hAnsi="Times New Roman" w:cs="Times New Roman"/>
        </w:rPr>
      </w:pPr>
      <w:r>
        <w:rPr>
          <w:rFonts w:ascii="Brown" w:eastAsia="Brown" w:hAnsi="Brown" w:cs="Brown"/>
        </w:rPr>
        <w:t>Managing operational conflicts between servicing and residential use</w:t>
      </w:r>
    </w:p>
    <w:p w14:paraId="04496EC9" w14:textId="77777777" w:rsidR="00242103" w:rsidRDefault="00242103">
      <w:pPr>
        <w:rPr>
          <w:rFonts w:ascii="Brown" w:eastAsia="Brown" w:hAnsi="Brown" w:cs="Brown"/>
        </w:rPr>
      </w:pPr>
    </w:p>
    <w:p w14:paraId="5B23085F" w14:textId="7A0FE607" w:rsidR="00242103" w:rsidRPr="00567348" w:rsidRDefault="00EF66CB" w:rsidP="00567348">
      <w:r>
        <w:rPr>
          <w:rFonts w:ascii="Brown" w:eastAsia="Brown" w:hAnsi="Brown" w:cs="Brown"/>
        </w:rPr>
        <w:t>This ensures a controlled, safe, and efficient servicing regime throughout the lifetime of the development.</w:t>
      </w:r>
    </w:p>
    <w:p w14:paraId="6A050B89" w14:textId="77777777" w:rsidR="00242103" w:rsidRDefault="00EF66CB">
      <w:pPr>
        <w:pStyle w:val="Heading1"/>
        <w:rPr>
          <w:sz w:val="32"/>
          <w:szCs w:val="32"/>
        </w:rPr>
      </w:pPr>
      <w:r>
        <w:rPr>
          <w:rFonts w:ascii="Brown" w:eastAsia="Brown" w:hAnsi="Brown" w:cs="Brown"/>
          <w:b w:val="0"/>
          <w:bCs w:val="0"/>
          <w:color w:val="1F8787"/>
          <w:sz w:val="32"/>
          <w:szCs w:val="32"/>
        </w:rPr>
        <w:t>Site Layout and Supporting Drawings</w:t>
      </w:r>
    </w:p>
    <w:p w14:paraId="5E987D9B" w14:textId="77777777" w:rsidR="00242103" w:rsidRDefault="00EF66CB">
      <w:pPr>
        <w:rPr>
          <w:rFonts w:ascii="Brown" w:eastAsia="Brown" w:hAnsi="Brown" w:cs="Brown"/>
        </w:rPr>
      </w:pPr>
      <w:r>
        <w:rPr>
          <w:rFonts w:ascii="Brown" w:eastAsia="Brown" w:hAnsi="Brown" w:cs="Brown"/>
        </w:rPr>
        <w:t>This strategy should be read in conjunction with the approved drawings, including:</w:t>
      </w:r>
    </w:p>
    <w:p w14:paraId="3249E3A7" w14:textId="08A7DD9A" w:rsidR="00567348" w:rsidRDefault="00567348" w:rsidP="00567348">
      <w:pPr>
        <w:pStyle w:val="ListParagraph"/>
        <w:numPr>
          <w:ilvl w:val="0"/>
          <w:numId w:val="8"/>
        </w:numPr>
      </w:pPr>
      <w:r>
        <w:t>143404-FAI-EX-EX-DR-H-01001-CO1</w:t>
      </w:r>
    </w:p>
    <w:p w14:paraId="64E941E7" w14:textId="274A9373" w:rsidR="00567348" w:rsidRDefault="00567348" w:rsidP="00567348">
      <w:pPr>
        <w:pStyle w:val="ListParagraph"/>
        <w:numPr>
          <w:ilvl w:val="0"/>
          <w:numId w:val="8"/>
        </w:numPr>
      </w:pPr>
      <w:r>
        <w:t xml:space="preserve">143404-FAI-EX-EX-DR-H-01004-C01 </w:t>
      </w:r>
    </w:p>
    <w:p w14:paraId="7CC6BECC" w14:textId="05C29210" w:rsidR="00567348" w:rsidRDefault="00567348" w:rsidP="00567348">
      <w:pPr>
        <w:pStyle w:val="ListParagraph"/>
        <w:numPr>
          <w:ilvl w:val="0"/>
          <w:numId w:val="8"/>
        </w:numPr>
      </w:pPr>
      <w:r>
        <w:t>8198-LRW-B1-ZZ-DR-A-80-100_C01</w:t>
      </w:r>
    </w:p>
    <w:p w14:paraId="4B58C3F4" w14:textId="7E856837" w:rsidR="00567348" w:rsidRDefault="00567348" w:rsidP="00567348">
      <w:pPr>
        <w:pStyle w:val="ListParagraph"/>
        <w:numPr>
          <w:ilvl w:val="0"/>
          <w:numId w:val="8"/>
        </w:numPr>
      </w:pPr>
      <w:r>
        <w:t>8198-LRW-B2-ZZ-DR-A-80-100_C01</w:t>
      </w:r>
    </w:p>
    <w:p w14:paraId="47D8740B" w14:textId="574EAB20" w:rsidR="00567348" w:rsidRDefault="00567348" w:rsidP="00567348">
      <w:pPr>
        <w:pStyle w:val="ListParagraph"/>
        <w:numPr>
          <w:ilvl w:val="0"/>
          <w:numId w:val="8"/>
        </w:numPr>
      </w:pPr>
      <w:r>
        <w:t>8198-LRW-ZZ-00-DR-A-90-100_C05</w:t>
      </w:r>
    </w:p>
    <w:p w14:paraId="489DD1A6" w14:textId="381FED81" w:rsidR="00567348" w:rsidRDefault="00567348" w:rsidP="00567348">
      <w:pPr>
        <w:pStyle w:val="ListParagraph"/>
        <w:numPr>
          <w:ilvl w:val="0"/>
          <w:numId w:val="8"/>
        </w:numPr>
      </w:pPr>
      <w:r>
        <w:t>8198-LRW-ZZ-00-DR-A-90-140</w:t>
      </w:r>
    </w:p>
    <w:p w14:paraId="1001FA18" w14:textId="77777777" w:rsidR="00242103" w:rsidRDefault="00242103">
      <w:pPr>
        <w:rPr>
          <w:rFonts w:ascii="Brown" w:eastAsia="Brown" w:hAnsi="Brown" w:cs="Brown"/>
        </w:rPr>
      </w:pPr>
    </w:p>
    <w:p w14:paraId="36E41D25" w14:textId="77777777" w:rsidR="00242103" w:rsidRDefault="00EF66CB">
      <w:r>
        <w:rPr>
          <w:rFonts w:ascii="Brown" w:eastAsia="Brown" w:hAnsi="Brown" w:cs="Brown"/>
        </w:rPr>
        <w:t>These drawings demonstrate how servicing, waste management, and deliveries are fully integrated into the development design.</w:t>
      </w:r>
    </w:p>
    <w:p w14:paraId="683EF7A5" w14:textId="77777777" w:rsidR="00242103" w:rsidRDefault="00242103">
      <w:pPr>
        <w:rPr>
          <w:rFonts w:ascii="Brown" w:eastAsia="Brown" w:hAnsi="Brown" w:cs="Brown"/>
        </w:rPr>
      </w:pPr>
    </w:p>
    <w:p w14:paraId="52AF61A9" w14:textId="77777777" w:rsidR="00242103" w:rsidRDefault="00EF66CB">
      <w:pPr>
        <w:pStyle w:val="Heading1"/>
        <w:rPr>
          <w:sz w:val="32"/>
          <w:szCs w:val="32"/>
        </w:rPr>
      </w:pPr>
      <w:r>
        <w:rPr>
          <w:rFonts w:ascii="Brown" w:eastAsia="Brown" w:hAnsi="Brown" w:cs="Brown"/>
          <w:b w:val="0"/>
          <w:bCs w:val="0"/>
          <w:color w:val="1F8787"/>
          <w:sz w:val="32"/>
          <w:szCs w:val="32"/>
        </w:rPr>
        <w:t>Review and Compliance</w:t>
      </w:r>
    </w:p>
    <w:p w14:paraId="2D427FBD" w14:textId="77777777" w:rsidR="00242103" w:rsidRDefault="00EF66CB">
      <w:r>
        <w:rPr>
          <w:rFonts w:ascii="Brown" w:eastAsia="Brown" w:hAnsi="Brown" w:cs="Brown"/>
        </w:rPr>
        <w:t>This Servicing Strategy will be implemented prior to first occupation and will remain in place for the lifetime of the development.</w:t>
      </w:r>
    </w:p>
    <w:p w14:paraId="6B2B4C5A" w14:textId="77777777" w:rsidR="00242103" w:rsidRDefault="00242103">
      <w:pPr>
        <w:rPr>
          <w:rFonts w:ascii="Brown" w:eastAsia="Brown" w:hAnsi="Brown" w:cs="Brown"/>
        </w:rPr>
      </w:pPr>
    </w:p>
    <w:p w14:paraId="771CF89A" w14:textId="77777777" w:rsidR="00242103" w:rsidRDefault="00EF66CB">
      <w:r>
        <w:rPr>
          <w:rFonts w:ascii="Brown" w:eastAsia="Brown" w:hAnsi="Brown" w:cs="Brown"/>
        </w:rPr>
        <w:lastRenderedPageBreak/>
        <w:t>The strategy will be reviewed periodically by the management team and updated where necessary to reflect operational changes, ensuring continued compliance with planning conditions, Manchester City Council guidance, and best practice.</w:t>
      </w:r>
    </w:p>
    <w:sectPr w:rsidR="00242103">
      <w:headerReference w:type="default" r:id="rId10"/>
      <w:footerReference w:type="default" r:id="rId11"/>
      <w:pgSz w:w="11906" w:h="16838"/>
      <w:pgMar w:top="1440" w:right="1080" w:bottom="1440" w:left="10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B4EE9" w14:textId="77777777" w:rsidR="006F6831" w:rsidRDefault="006F6831">
      <w:r>
        <w:separator/>
      </w:r>
    </w:p>
  </w:endnote>
  <w:endnote w:type="continuationSeparator" w:id="0">
    <w:p w14:paraId="41327A66" w14:textId="77777777" w:rsidR="006F6831" w:rsidRDefault="006F6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own">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D7FC2" w14:textId="77777777" w:rsidR="00242103" w:rsidRDefault="00EF66CB">
    <w:r>
      <w:rPr>
        <w:noProof/>
      </w:rPr>
      <w:drawing>
        <wp:anchor distT="0" distB="0" distL="114300" distR="114300" simplePos="0" relativeHeight="251658240" behindDoc="0" locked="0" layoutInCell="1" allowOverlap="0" wp14:anchorId="7D5A558B" wp14:editId="0D90B70D">
          <wp:simplePos x="0" y="0"/>
          <wp:positionH relativeFrom="column">
            <wp:align>right</wp:align>
          </wp:positionH>
          <wp:positionV relativeFrom="page">
            <wp:posOffset>9726295</wp:posOffset>
          </wp:positionV>
          <wp:extent cx="571500" cy="581025"/>
          <wp:effectExtent l="0" t="0" r="0" b="0"/>
          <wp:wrapSquare wrapText="bothSides"/>
          <wp:docPr id="100003" name="Picture 100003" descr="A picture containing text, stationary, envel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
                  <a:stretch>
                    <a:fillRect/>
                  </a:stretch>
                </pic:blipFill>
                <pic:spPr>
                  <a:xfrm>
                    <a:off x="0" y="0"/>
                    <a:ext cx="571500" cy="58102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4FBD7" w14:textId="77777777" w:rsidR="006F6831" w:rsidRDefault="006F6831">
      <w:r>
        <w:separator/>
      </w:r>
    </w:p>
  </w:footnote>
  <w:footnote w:type="continuationSeparator" w:id="0">
    <w:p w14:paraId="6DE097F8" w14:textId="77777777" w:rsidR="006F6831" w:rsidRDefault="006F6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1996B" w14:textId="77777777" w:rsidR="00242103" w:rsidRDefault="00EF66CB">
    <w:pPr>
      <w:rPr>
        <w:sz w:val="18"/>
        <w:szCs w:val="18"/>
      </w:rPr>
    </w:pPr>
    <w:r>
      <w:rPr>
        <w:noProof/>
        <w:sz w:val="18"/>
        <w:szCs w:val="18"/>
      </w:rPr>
      <w:drawing>
        <wp:anchor distT="0" distB="0" distL="114300" distR="114300" simplePos="0" relativeHeight="251657216" behindDoc="0" locked="0" layoutInCell="1" allowOverlap="0" wp14:anchorId="34844EF7" wp14:editId="52D62BC7">
          <wp:simplePos x="0" y="0"/>
          <wp:positionH relativeFrom="column">
            <wp:align>right</wp:align>
          </wp:positionH>
          <wp:positionV relativeFrom="paragraph">
            <wp:posOffset>127000</wp:posOffset>
          </wp:positionV>
          <wp:extent cx="1428750" cy="504825"/>
          <wp:effectExtent l="0" t="0" r="0" b="0"/>
          <wp:wrapSquare wrapText="bothSides"/>
          <wp:docPr id="100001" name="Picture 10000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1428750" cy="504825"/>
                  </a:xfrm>
                  <a:prstGeom prst="rect">
                    <a:avLst/>
                  </a:prstGeom>
                </pic:spPr>
              </pic:pic>
            </a:graphicData>
          </a:graphic>
        </wp:anchor>
      </w:drawing>
    </w:r>
  </w:p>
  <w:p w14:paraId="56A76AF9" w14:textId="77777777" w:rsidR="00242103" w:rsidRDefault="00242103"/>
  <w:p w14:paraId="6FBFA8C6" w14:textId="77777777" w:rsidR="00242103" w:rsidRDefault="002421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48183328">
      <w:start w:val="1"/>
      <w:numFmt w:val="bullet"/>
      <w:lvlText w:val=""/>
      <w:lvlJc w:val="left"/>
      <w:pPr>
        <w:ind w:left="720" w:hanging="360"/>
      </w:pPr>
      <w:rPr>
        <w:rFonts w:ascii="Symbol" w:hAnsi="Symbol"/>
        <w:b w:val="0"/>
        <w:bCs w:val="0"/>
      </w:rPr>
    </w:lvl>
    <w:lvl w:ilvl="1" w:tplc="0E682614">
      <w:start w:val="1"/>
      <w:numFmt w:val="bullet"/>
      <w:lvlText w:val="o"/>
      <w:lvlJc w:val="left"/>
      <w:pPr>
        <w:tabs>
          <w:tab w:val="num" w:pos="1440"/>
        </w:tabs>
        <w:ind w:left="1440" w:hanging="360"/>
      </w:pPr>
      <w:rPr>
        <w:rFonts w:ascii="Courier New" w:hAnsi="Courier New"/>
      </w:rPr>
    </w:lvl>
    <w:lvl w:ilvl="2" w:tplc="3F76052E">
      <w:start w:val="1"/>
      <w:numFmt w:val="bullet"/>
      <w:lvlText w:val=""/>
      <w:lvlJc w:val="left"/>
      <w:pPr>
        <w:tabs>
          <w:tab w:val="num" w:pos="2160"/>
        </w:tabs>
        <w:ind w:left="2160" w:hanging="360"/>
      </w:pPr>
      <w:rPr>
        <w:rFonts w:ascii="Wingdings" w:hAnsi="Wingdings"/>
      </w:rPr>
    </w:lvl>
    <w:lvl w:ilvl="3" w:tplc="FF5C1594">
      <w:start w:val="1"/>
      <w:numFmt w:val="bullet"/>
      <w:lvlText w:val=""/>
      <w:lvlJc w:val="left"/>
      <w:pPr>
        <w:tabs>
          <w:tab w:val="num" w:pos="2880"/>
        </w:tabs>
        <w:ind w:left="2880" w:hanging="360"/>
      </w:pPr>
      <w:rPr>
        <w:rFonts w:ascii="Symbol" w:hAnsi="Symbol"/>
      </w:rPr>
    </w:lvl>
    <w:lvl w:ilvl="4" w:tplc="3B48BBA2">
      <w:start w:val="1"/>
      <w:numFmt w:val="bullet"/>
      <w:lvlText w:val="o"/>
      <w:lvlJc w:val="left"/>
      <w:pPr>
        <w:tabs>
          <w:tab w:val="num" w:pos="3600"/>
        </w:tabs>
        <w:ind w:left="3600" w:hanging="360"/>
      </w:pPr>
      <w:rPr>
        <w:rFonts w:ascii="Courier New" w:hAnsi="Courier New"/>
      </w:rPr>
    </w:lvl>
    <w:lvl w:ilvl="5" w:tplc="AC302D62">
      <w:start w:val="1"/>
      <w:numFmt w:val="bullet"/>
      <w:lvlText w:val=""/>
      <w:lvlJc w:val="left"/>
      <w:pPr>
        <w:tabs>
          <w:tab w:val="num" w:pos="4320"/>
        </w:tabs>
        <w:ind w:left="4320" w:hanging="360"/>
      </w:pPr>
      <w:rPr>
        <w:rFonts w:ascii="Wingdings" w:hAnsi="Wingdings"/>
      </w:rPr>
    </w:lvl>
    <w:lvl w:ilvl="6" w:tplc="90A48F94">
      <w:start w:val="1"/>
      <w:numFmt w:val="bullet"/>
      <w:lvlText w:val=""/>
      <w:lvlJc w:val="left"/>
      <w:pPr>
        <w:tabs>
          <w:tab w:val="num" w:pos="5040"/>
        </w:tabs>
        <w:ind w:left="5040" w:hanging="360"/>
      </w:pPr>
      <w:rPr>
        <w:rFonts w:ascii="Symbol" w:hAnsi="Symbol"/>
      </w:rPr>
    </w:lvl>
    <w:lvl w:ilvl="7" w:tplc="8E3C1662">
      <w:start w:val="1"/>
      <w:numFmt w:val="bullet"/>
      <w:lvlText w:val="o"/>
      <w:lvlJc w:val="left"/>
      <w:pPr>
        <w:tabs>
          <w:tab w:val="num" w:pos="5760"/>
        </w:tabs>
        <w:ind w:left="5760" w:hanging="360"/>
      </w:pPr>
      <w:rPr>
        <w:rFonts w:ascii="Courier New" w:hAnsi="Courier New"/>
      </w:rPr>
    </w:lvl>
    <w:lvl w:ilvl="8" w:tplc="0B18FC6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B6C02D2">
      <w:start w:val="1"/>
      <w:numFmt w:val="bullet"/>
      <w:lvlText w:val=""/>
      <w:lvlJc w:val="left"/>
      <w:pPr>
        <w:ind w:left="720" w:hanging="360"/>
      </w:pPr>
      <w:rPr>
        <w:rFonts w:ascii="Symbol" w:hAnsi="Symbol"/>
        <w:b w:val="0"/>
        <w:bCs w:val="0"/>
      </w:rPr>
    </w:lvl>
    <w:lvl w:ilvl="1" w:tplc="AF7E09D6">
      <w:start w:val="1"/>
      <w:numFmt w:val="bullet"/>
      <w:lvlText w:val="o"/>
      <w:lvlJc w:val="left"/>
      <w:pPr>
        <w:tabs>
          <w:tab w:val="num" w:pos="1440"/>
        </w:tabs>
        <w:ind w:left="1440" w:hanging="360"/>
      </w:pPr>
      <w:rPr>
        <w:rFonts w:ascii="Courier New" w:hAnsi="Courier New"/>
      </w:rPr>
    </w:lvl>
    <w:lvl w:ilvl="2" w:tplc="D534A978">
      <w:start w:val="1"/>
      <w:numFmt w:val="bullet"/>
      <w:lvlText w:val=""/>
      <w:lvlJc w:val="left"/>
      <w:pPr>
        <w:tabs>
          <w:tab w:val="num" w:pos="2160"/>
        </w:tabs>
        <w:ind w:left="2160" w:hanging="360"/>
      </w:pPr>
      <w:rPr>
        <w:rFonts w:ascii="Wingdings" w:hAnsi="Wingdings"/>
      </w:rPr>
    </w:lvl>
    <w:lvl w:ilvl="3" w:tplc="F39C6EE0">
      <w:start w:val="1"/>
      <w:numFmt w:val="bullet"/>
      <w:lvlText w:val=""/>
      <w:lvlJc w:val="left"/>
      <w:pPr>
        <w:tabs>
          <w:tab w:val="num" w:pos="2880"/>
        </w:tabs>
        <w:ind w:left="2880" w:hanging="360"/>
      </w:pPr>
      <w:rPr>
        <w:rFonts w:ascii="Symbol" w:hAnsi="Symbol"/>
      </w:rPr>
    </w:lvl>
    <w:lvl w:ilvl="4" w:tplc="1A687FFA">
      <w:start w:val="1"/>
      <w:numFmt w:val="bullet"/>
      <w:lvlText w:val="o"/>
      <w:lvlJc w:val="left"/>
      <w:pPr>
        <w:tabs>
          <w:tab w:val="num" w:pos="3600"/>
        </w:tabs>
        <w:ind w:left="3600" w:hanging="360"/>
      </w:pPr>
      <w:rPr>
        <w:rFonts w:ascii="Courier New" w:hAnsi="Courier New"/>
      </w:rPr>
    </w:lvl>
    <w:lvl w:ilvl="5" w:tplc="290AEC40">
      <w:start w:val="1"/>
      <w:numFmt w:val="bullet"/>
      <w:lvlText w:val=""/>
      <w:lvlJc w:val="left"/>
      <w:pPr>
        <w:tabs>
          <w:tab w:val="num" w:pos="4320"/>
        </w:tabs>
        <w:ind w:left="4320" w:hanging="360"/>
      </w:pPr>
      <w:rPr>
        <w:rFonts w:ascii="Wingdings" w:hAnsi="Wingdings"/>
      </w:rPr>
    </w:lvl>
    <w:lvl w:ilvl="6" w:tplc="1750B53A">
      <w:start w:val="1"/>
      <w:numFmt w:val="bullet"/>
      <w:lvlText w:val=""/>
      <w:lvlJc w:val="left"/>
      <w:pPr>
        <w:tabs>
          <w:tab w:val="num" w:pos="5040"/>
        </w:tabs>
        <w:ind w:left="5040" w:hanging="360"/>
      </w:pPr>
      <w:rPr>
        <w:rFonts w:ascii="Symbol" w:hAnsi="Symbol"/>
      </w:rPr>
    </w:lvl>
    <w:lvl w:ilvl="7" w:tplc="EF02DF5A">
      <w:start w:val="1"/>
      <w:numFmt w:val="bullet"/>
      <w:lvlText w:val="o"/>
      <w:lvlJc w:val="left"/>
      <w:pPr>
        <w:tabs>
          <w:tab w:val="num" w:pos="5760"/>
        </w:tabs>
        <w:ind w:left="5760" w:hanging="360"/>
      </w:pPr>
      <w:rPr>
        <w:rFonts w:ascii="Courier New" w:hAnsi="Courier New"/>
      </w:rPr>
    </w:lvl>
    <w:lvl w:ilvl="8" w:tplc="191ED80E">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3A6CCE36">
      <w:start w:val="1"/>
      <w:numFmt w:val="bullet"/>
      <w:lvlText w:val=""/>
      <w:lvlJc w:val="left"/>
      <w:pPr>
        <w:ind w:left="720" w:hanging="360"/>
      </w:pPr>
      <w:rPr>
        <w:rFonts w:ascii="Symbol" w:hAnsi="Symbol"/>
        <w:b w:val="0"/>
        <w:bCs w:val="0"/>
      </w:rPr>
    </w:lvl>
    <w:lvl w:ilvl="1" w:tplc="6F0CBD0C">
      <w:start w:val="1"/>
      <w:numFmt w:val="bullet"/>
      <w:lvlText w:val="o"/>
      <w:lvlJc w:val="left"/>
      <w:pPr>
        <w:tabs>
          <w:tab w:val="num" w:pos="1440"/>
        </w:tabs>
        <w:ind w:left="1440" w:hanging="360"/>
      </w:pPr>
      <w:rPr>
        <w:rFonts w:ascii="Courier New" w:hAnsi="Courier New"/>
      </w:rPr>
    </w:lvl>
    <w:lvl w:ilvl="2" w:tplc="13DAF1EA">
      <w:start w:val="1"/>
      <w:numFmt w:val="bullet"/>
      <w:lvlText w:val=""/>
      <w:lvlJc w:val="left"/>
      <w:pPr>
        <w:tabs>
          <w:tab w:val="num" w:pos="2160"/>
        </w:tabs>
        <w:ind w:left="2160" w:hanging="360"/>
      </w:pPr>
      <w:rPr>
        <w:rFonts w:ascii="Wingdings" w:hAnsi="Wingdings"/>
      </w:rPr>
    </w:lvl>
    <w:lvl w:ilvl="3" w:tplc="5E5C7BE2">
      <w:start w:val="1"/>
      <w:numFmt w:val="bullet"/>
      <w:lvlText w:val=""/>
      <w:lvlJc w:val="left"/>
      <w:pPr>
        <w:tabs>
          <w:tab w:val="num" w:pos="2880"/>
        </w:tabs>
        <w:ind w:left="2880" w:hanging="360"/>
      </w:pPr>
      <w:rPr>
        <w:rFonts w:ascii="Symbol" w:hAnsi="Symbol"/>
      </w:rPr>
    </w:lvl>
    <w:lvl w:ilvl="4" w:tplc="16421F28">
      <w:start w:val="1"/>
      <w:numFmt w:val="bullet"/>
      <w:lvlText w:val="o"/>
      <w:lvlJc w:val="left"/>
      <w:pPr>
        <w:tabs>
          <w:tab w:val="num" w:pos="3600"/>
        </w:tabs>
        <w:ind w:left="3600" w:hanging="360"/>
      </w:pPr>
      <w:rPr>
        <w:rFonts w:ascii="Courier New" w:hAnsi="Courier New"/>
      </w:rPr>
    </w:lvl>
    <w:lvl w:ilvl="5" w:tplc="9FB44F4A">
      <w:start w:val="1"/>
      <w:numFmt w:val="bullet"/>
      <w:lvlText w:val=""/>
      <w:lvlJc w:val="left"/>
      <w:pPr>
        <w:tabs>
          <w:tab w:val="num" w:pos="4320"/>
        </w:tabs>
        <w:ind w:left="4320" w:hanging="360"/>
      </w:pPr>
      <w:rPr>
        <w:rFonts w:ascii="Wingdings" w:hAnsi="Wingdings"/>
      </w:rPr>
    </w:lvl>
    <w:lvl w:ilvl="6" w:tplc="3B14EA42">
      <w:start w:val="1"/>
      <w:numFmt w:val="bullet"/>
      <w:lvlText w:val=""/>
      <w:lvlJc w:val="left"/>
      <w:pPr>
        <w:tabs>
          <w:tab w:val="num" w:pos="5040"/>
        </w:tabs>
        <w:ind w:left="5040" w:hanging="360"/>
      </w:pPr>
      <w:rPr>
        <w:rFonts w:ascii="Symbol" w:hAnsi="Symbol"/>
      </w:rPr>
    </w:lvl>
    <w:lvl w:ilvl="7" w:tplc="7AF82348">
      <w:start w:val="1"/>
      <w:numFmt w:val="bullet"/>
      <w:lvlText w:val="o"/>
      <w:lvlJc w:val="left"/>
      <w:pPr>
        <w:tabs>
          <w:tab w:val="num" w:pos="5760"/>
        </w:tabs>
        <w:ind w:left="5760" w:hanging="360"/>
      </w:pPr>
      <w:rPr>
        <w:rFonts w:ascii="Courier New" w:hAnsi="Courier New"/>
      </w:rPr>
    </w:lvl>
    <w:lvl w:ilvl="8" w:tplc="DDFA65E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C33459F4">
      <w:start w:val="1"/>
      <w:numFmt w:val="bullet"/>
      <w:lvlText w:val=""/>
      <w:lvlJc w:val="left"/>
      <w:pPr>
        <w:ind w:left="720" w:hanging="360"/>
      </w:pPr>
      <w:rPr>
        <w:rFonts w:ascii="Symbol" w:hAnsi="Symbol"/>
        <w:b w:val="0"/>
        <w:bCs w:val="0"/>
      </w:rPr>
    </w:lvl>
    <w:lvl w:ilvl="1" w:tplc="40684764">
      <w:start w:val="1"/>
      <w:numFmt w:val="bullet"/>
      <w:lvlText w:val="o"/>
      <w:lvlJc w:val="left"/>
      <w:pPr>
        <w:tabs>
          <w:tab w:val="num" w:pos="1440"/>
        </w:tabs>
        <w:ind w:left="1440" w:hanging="360"/>
      </w:pPr>
      <w:rPr>
        <w:rFonts w:ascii="Courier New" w:hAnsi="Courier New"/>
      </w:rPr>
    </w:lvl>
    <w:lvl w:ilvl="2" w:tplc="4E3834A6">
      <w:start w:val="1"/>
      <w:numFmt w:val="bullet"/>
      <w:lvlText w:val=""/>
      <w:lvlJc w:val="left"/>
      <w:pPr>
        <w:tabs>
          <w:tab w:val="num" w:pos="2160"/>
        </w:tabs>
        <w:ind w:left="2160" w:hanging="360"/>
      </w:pPr>
      <w:rPr>
        <w:rFonts w:ascii="Wingdings" w:hAnsi="Wingdings"/>
      </w:rPr>
    </w:lvl>
    <w:lvl w:ilvl="3" w:tplc="5564305A">
      <w:start w:val="1"/>
      <w:numFmt w:val="bullet"/>
      <w:lvlText w:val=""/>
      <w:lvlJc w:val="left"/>
      <w:pPr>
        <w:tabs>
          <w:tab w:val="num" w:pos="2880"/>
        </w:tabs>
        <w:ind w:left="2880" w:hanging="360"/>
      </w:pPr>
      <w:rPr>
        <w:rFonts w:ascii="Symbol" w:hAnsi="Symbol"/>
      </w:rPr>
    </w:lvl>
    <w:lvl w:ilvl="4" w:tplc="41280EA4">
      <w:start w:val="1"/>
      <w:numFmt w:val="bullet"/>
      <w:lvlText w:val="o"/>
      <w:lvlJc w:val="left"/>
      <w:pPr>
        <w:tabs>
          <w:tab w:val="num" w:pos="3600"/>
        </w:tabs>
        <w:ind w:left="3600" w:hanging="360"/>
      </w:pPr>
      <w:rPr>
        <w:rFonts w:ascii="Courier New" w:hAnsi="Courier New"/>
      </w:rPr>
    </w:lvl>
    <w:lvl w:ilvl="5" w:tplc="EB00F9A6">
      <w:start w:val="1"/>
      <w:numFmt w:val="bullet"/>
      <w:lvlText w:val=""/>
      <w:lvlJc w:val="left"/>
      <w:pPr>
        <w:tabs>
          <w:tab w:val="num" w:pos="4320"/>
        </w:tabs>
        <w:ind w:left="4320" w:hanging="360"/>
      </w:pPr>
      <w:rPr>
        <w:rFonts w:ascii="Wingdings" w:hAnsi="Wingdings"/>
      </w:rPr>
    </w:lvl>
    <w:lvl w:ilvl="6" w:tplc="EBF602CC">
      <w:start w:val="1"/>
      <w:numFmt w:val="bullet"/>
      <w:lvlText w:val=""/>
      <w:lvlJc w:val="left"/>
      <w:pPr>
        <w:tabs>
          <w:tab w:val="num" w:pos="5040"/>
        </w:tabs>
        <w:ind w:left="5040" w:hanging="360"/>
      </w:pPr>
      <w:rPr>
        <w:rFonts w:ascii="Symbol" w:hAnsi="Symbol"/>
      </w:rPr>
    </w:lvl>
    <w:lvl w:ilvl="7" w:tplc="987A08E0">
      <w:start w:val="1"/>
      <w:numFmt w:val="bullet"/>
      <w:lvlText w:val="o"/>
      <w:lvlJc w:val="left"/>
      <w:pPr>
        <w:tabs>
          <w:tab w:val="num" w:pos="5760"/>
        </w:tabs>
        <w:ind w:left="5760" w:hanging="360"/>
      </w:pPr>
      <w:rPr>
        <w:rFonts w:ascii="Courier New" w:hAnsi="Courier New"/>
      </w:rPr>
    </w:lvl>
    <w:lvl w:ilvl="8" w:tplc="BC9E95B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B86C7B1A">
      <w:start w:val="1"/>
      <w:numFmt w:val="bullet"/>
      <w:lvlText w:val=""/>
      <w:lvlJc w:val="left"/>
      <w:pPr>
        <w:ind w:left="720" w:hanging="360"/>
      </w:pPr>
      <w:rPr>
        <w:rFonts w:ascii="Symbol" w:hAnsi="Symbol"/>
        <w:b w:val="0"/>
        <w:bCs w:val="0"/>
      </w:rPr>
    </w:lvl>
    <w:lvl w:ilvl="1" w:tplc="02108764">
      <w:start w:val="1"/>
      <w:numFmt w:val="bullet"/>
      <w:lvlText w:val="o"/>
      <w:lvlJc w:val="left"/>
      <w:pPr>
        <w:tabs>
          <w:tab w:val="num" w:pos="1440"/>
        </w:tabs>
        <w:ind w:left="1440" w:hanging="360"/>
      </w:pPr>
      <w:rPr>
        <w:rFonts w:ascii="Courier New" w:hAnsi="Courier New"/>
      </w:rPr>
    </w:lvl>
    <w:lvl w:ilvl="2" w:tplc="99A4D65C">
      <w:start w:val="1"/>
      <w:numFmt w:val="bullet"/>
      <w:lvlText w:val=""/>
      <w:lvlJc w:val="left"/>
      <w:pPr>
        <w:tabs>
          <w:tab w:val="num" w:pos="2160"/>
        </w:tabs>
        <w:ind w:left="2160" w:hanging="360"/>
      </w:pPr>
      <w:rPr>
        <w:rFonts w:ascii="Wingdings" w:hAnsi="Wingdings"/>
      </w:rPr>
    </w:lvl>
    <w:lvl w:ilvl="3" w:tplc="2A4643B8">
      <w:start w:val="1"/>
      <w:numFmt w:val="bullet"/>
      <w:lvlText w:val=""/>
      <w:lvlJc w:val="left"/>
      <w:pPr>
        <w:tabs>
          <w:tab w:val="num" w:pos="2880"/>
        </w:tabs>
        <w:ind w:left="2880" w:hanging="360"/>
      </w:pPr>
      <w:rPr>
        <w:rFonts w:ascii="Symbol" w:hAnsi="Symbol"/>
      </w:rPr>
    </w:lvl>
    <w:lvl w:ilvl="4" w:tplc="4642D402">
      <w:start w:val="1"/>
      <w:numFmt w:val="bullet"/>
      <w:lvlText w:val="o"/>
      <w:lvlJc w:val="left"/>
      <w:pPr>
        <w:tabs>
          <w:tab w:val="num" w:pos="3600"/>
        </w:tabs>
        <w:ind w:left="3600" w:hanging="360"/>
      </w:pPr>
      <w:rPr>
        <w:rFonts w:ascii="Courier New" w:hAnsi="Courier New"/>
      </w:rPr>
    </w:lvl>
    <w:lvl w:ilvl="5" w:tplc="E69ED21E">
      <w:start w:val="1"/>
      <w:numFmt w:val="bullet"/>
      <w:lvlText w:val=""/>
      <w:lvlJc w:val="left"/>
      <w:pPr>
        <w:tabs>
          <w:tab w:val="num" w:pos="4320"/>
        </w:tabs>
        <w:ind w:left="4320" w:hanging="360"/>
      </w:pPr>
      <w:rPr>
        <w:rFonts w:ascii="Wingdings" w:hAnsi="Wingdings"/>
      </w:rPr>
    </w:lvl>
    <w:lvl w:ilvl="6" w:tplc="694E720E">
      <w:start w:val="1"/>
      <w:numFmt w:val="bullet"/>
      <w:lvlText w:val=""/>
      <w:lvlJc w:val="left"/>
      <w:pPr>
        <w:tabs>
          <w:tab w:val="num" w:pos="5040"/>
        </w:tabs>
        <w:ind w:left="5040" w:hanging="360"/>
      </w:pPr>
      <w:rPr>
        <w:rFonts w:ascii="Symbol" w:hAnsi="Symbol"/>
      </w:rPr>
    </w:lvl>
    <w:lvl w:ilvl="7" w:tplc="EDD21C30">
      <w:start w:val="1"/>
      <w:numFmt w:val="bullet"/>
      <w:lvlText w:val="o"/>
      <w:lvlJc w:val="left"/>
      <w:pPr>
        <w:tabs>
          <w:tab w:val="num" w:pos="5760"/>
        </w:tabs>
        <w:ind w:left="5760" w:hanging="360"/>
      </w:pPr>
      <w:rPr>
        <w:rFonts w:ascii="Courier New" w:hAnsi="Courier New"/>
      </w:rPr>
    </w:lvl>
    <w:lvl w:ilvl="8" w:tplc="B420C99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46ED8D0">
      <w:start w:val="1"/>
      <w:numFmt w:val="bullet"/>
      <w:lvlText w:val=""/>
      <w:lvlJc w:val="left"/>
      <w:pPr>
        <w:ind w:left="720" w:hanging="360"/>
      </w:pPr>
      <w:rPr>
        <w:rFonts w:ascii="Symbol" w:hAnsi="Symbol"/>
        <w:b w:val="0"/>
        <w:bCs w:val="0"/>
      </w:rPr>
    </w:lvl>
    <w:lvl w:ilvl="1" w:tplc="651C64BE">
      <w:start w:val="1"/>
      <w:numFmt w:val="bullet"/>
      <w:lvlText w:val="o"/>
      <w:lvlJc w:val="left"/>
      <w:pPr>
        <w:tabs>
          <w:tab w:val="num" w:pos="1440"/>
        </w:tabs>
        <w:ind w:left="1440" w:hanging="360"/>
      </w:pPr>
      <w:rPr>
        <w:rFonts w:ascii="Courier New" w:hAnsi="Courier New"/>
      </w:rPr>
    </w:lvl>
    <w:lvl w:ilvl="2" w:tplc="6C9AEF8C">
      <w:start w:val="1"/>
      <w:numFmt w:val="bullet"/>
      <w:lvlText w:val=""/>
      <w:lvlJc w:val="left"/>
      <w:pPr>
        <w:tabs>
          <w:tab w:val="num" w:pos="2160"/>
        </w:tabs>
        <w:ind w:left="2160" w:hanging="360"/>
      </w:pPr>
      <w:rPr>
        <w:rFonts w:ascii="Wingdings" w:hAnsi="Wingdings"/>
      </w:rPr>
    </w:lvl>
    <w:lvl w:ilvl="3" w:tplc="7354F4CC">
      <w:start w:val="1"/>
      <w:numFmt w:val="bullet"/>
      <w:lvlText w:val=""/>
      <w:lvlJc w:val="left"/>
      <w:pPr>
        <w:tabs>
          <w:tab w:val="num" w:pos="2880"/>
        </w:tabs>
        <w:ind w:left="2880" w:hanging="360"/>
      </w:pPr>
      <w:rPr>
        <w:rFonts w:ascii="Symbol" w:hAnsi="Symbol"/>
      </w:rPr>
    </w:lvl>
    <w:lvl w:ilvl="4" w:tplc="B81693A6">
      <w:start w:val="1"/>
      <w:numFmt w:val="bullet"/>
      <w:lvlText w:val="o"/>
      <w:lvlJc w:val="left"/>
      <w:pPr>
        <w:tabs>
          <w:tab w:val="num" w:pos="3600"/>
        </w:tabs>
        <w:ind w:left="3600" w:hanging="360"/>
      </w:pPr>
      <w:rPr>
        <w:rFonts w:ascii="Courier New" w:hAnsi="Courier New"/>
      </w:rPr>
    </w:lvl>
    <w:lvl w:ilvl="5" w:tplc="A9AE0B16">
      <w:start w:val="1"/>
      <w:numFmt w:val="bullet"/>
      <w:lvlText w:val=""/>
      <w:lvlJc w:val="left"/>
      <w:pPr>
        <w:tabs>
          <w:tab w:val="num" w:pos="4320"/>
        </w:tabs>
        <w:ind w:left="4320" w:hanging="360"/>
      </w:pPr>
      <w:rPr>
        <w:rFonts w:ascii="Wingdings" w:hAnsi="Wingdings"/>
      </w:rPr>
    </w:lvl>
    <w:lvl w:ilvl="6" w:tplc="C8D8B3D0">
      <w:start w:val="1"/>
      <w:numFmt w:val="bullet"/>
      <w:lvlText w:val=""/>
      <w:lvlJc w:val="left"/>
      <w:pPr>
        <w:tabs>
          <w:tab w:val="num" w:pos="5040"/>
        </w:tabs>
        <w:ind w:left="5040" w:hanging="360"/>
      </w:pPr>
      <w:rPr>
        <w:rFonts w:ascii="Symbol" w:hAnsi="Symbol"/>
      </w:rPr>
    </w:lvl>
    <w:lvl w:ilvl="7" w:tplc="A34E6490">
      <w:start w:val="1"/>
      <w:numFmt w:val="bullet"/>
      <w:lvlText w:val="o"/>
      <w:lvlJc w:val="left"/>
      <w:pPr>
        <w:tabs>
          <w:tab w:val="num" w:pos="5760"/>
        </w:tabs>
        <w:ind w:left="5760" w:hanging="360"/>
      </w:pPr>
      <w:rPr>
        <w:rFonts w:ascii="Courier New" w:hAnsi="Courier New"/>
      </w:rPr>
    </w:lvl>
    <w:lvl w:ilvl="8" w:tplc="5D16972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02DE65A8">
      <w:start w:val="1"/>
      <w:numFmt w:val="bullet"/>
      <w:lvlText w:val=""/>
      <w:lvlJc w:val="left"/>
      <w:pPr>
        <w:ind w:left="720" w:hanging="360"/>
      </w:pPr>
      <w:rPr>
        <w:rFonts w:ascii="Symbol" w:hAnsi="Symbol"/>
        <w:b w:val="0"/>
        <w:bCs w:val="0"/>
      </w:rPr>
    </w:lvl>
    <w:lvl w:ilvl="1" w:tplc="579A0100">
      <w:start w:val="1"/>
      <w:numFmt w:val="bullet"/>
      <w:lvlText w:val="o"/>
      <w:lvlJc w:val="left"/>
      <w:pPr>
        <w:tabs>
          <w:tab w:val="num" w:pos="1440"/>
        </w:tabs>
        <w:ind w:left="1440" w:hanging="360"/>
      </w:pPr>
      <w:rPr>
        <w:rFonts w:ascii="Courier New" w:hAnsi="Courier New"/>
      </w:rPr>
    </w:lvl>
    <w:lvl w:ilvl="2" w:tplc="DC9E3BB0">
      <w:start w:val="1"/>
      <w:numFmt w:val="bullet"/>
      <w:lvlText w:val=""/>
      <w:lvlJc w:val="left"/>
      <w:pPr>
        <w:tabs>
          <w:tab w:val="num" w:pos="2160"/>
        </w:tabs>
        <w:ind w:left="2160" w:hanging="360"/>
      </w:pPr>
      <w:rPr>
        <w:rFonts w:ascii="Wingdings" w:hAnsi="Wingdings"/>
      </w:rPr>
    </w:lvl>
    <w:lvl w:ilvl="3" w:tplc="51CEB496">
      <w:start w:val="1"/>
      <w:numFmt w:val="bullet"/>
      <w:lvlText w:val=""/>
      <w:lvlJc w:val="left"/>
      <w:pPr>
        <w:tabs>
          <w:tab w:val="num" w:pos="2880"/>
        </w:tabs>
        <w:ind w:left="2880" w:hanging="360"/>
      </w:pPr>
      <w:rPr>
        <w:rFonts w:ascii="Symbol" w:hAnsi="Symbol"/>
      </w:rPr>
    </w:lvl>
    <w:lvl w:ilvl="4" w:tplc="554CD348">
      <w:start w:val="1"/>
      <w:numFmt w:val="bullet"/>
      <w:lvlText w:val="o"/>
      <w:lvlJc w:val="left"/>
      <w:pPr>
        <w:tabs>
          <w:tab w:val="num" w:pos="3600"/>
        </w:tabs>
        <w:ind w:left="3600" w:hanging="360"/>
      </w:pPr>
      <w:rPr>
        <w:rFonts w:ascii="Courier New" w:hAnsi="Courier New"/>
      </w:rPr>
    </w:lvl>
    <w:lvl w:ilvl="5" w:tplc="27ECE400">
      <w:start w:val="1"/>
      <w:numFmt w:val="bullet"/>
      <w:lvlText w:val=""/>
      <w:lvlJc w:val="left"/>
      <w:pPr>
        <w:tabs>
          <w:tab w:val="num" w:pos="4320"/>
        </w:tabs>
        <w:ind w:left="4320" w:hanging="360"/>
      </w:pPr>
      <w:rPr>
        <w:rFonts w:ascii="Wingdings" w:hAnsi="Wingdings"/>
      </w:rPr>
    </w:lvl>
    <w:lvl w:ilvl="6" w:tplc="98C8B10C">
      <w:start w:val="1"/>
      <w:numFmt w:val="bullet"/>
      <w:lvlText w:val=""/>
      <w:lvlJc w:val="left"/>
      <w:pPr>
        <w:tabs>
          <w:tab w:val="num" w:pos="5040"/>
        </w:tabs>
        <w:ind w:left="5040" w:hanging="360"/>
      </w:pPr>
      <w:rPr>
        <w:rFonts w:ascii="Symbol" w:hAnsi="Symbol"/>
      </w:rPr>
    </w:lvl>
    <w:lvl w:ilvl="7" w:tplc="B636E38A">
      <w:start w:val="1"/>
      <w:numFmt w:val="bullet"/>
      <w:lvlText w:val="o"/>
      <w:lvlJc w:val="left"/>
      <w:pPr>
        <w:tabs>
          <w:tab w:val="num" w:pos="5760"/>
        </w:tabs>
        <w:ind w:left="5760" w:hanging="360"/>
      </w:pPr>
      <w:rPr>
        <w:rFonts w:ascii="Courier New" w:hAnsi="Courier New"/>
      </w:rPr>
    </w:lvl>
    <w:lvl w:ilvl="8" w:tplc="A81A606A">
      <w:start w:val="1"/>
      <w:numFmt w:val="bullet"/>
      <w:lvlText w:val=""/>
      <w:lvlJc w:val="left"/>
      <w:pPr>
        <w:tabs>
          <w:tab w:val="num" w:pos="6480"/>
        </w:tabs>
        <w:ind w:left="6480" w:hanging="360"/>
      </w:pPr>
      <w:rPr>
        <w:rFonts w:ascii="Wingdings" w:hAnsi="Wingdings"/>
      </w:rPr>
    </w:lvl>
  </w:abstractNum>
  <w:abstractNum w:abstractNumId="7" w15:restartNumberingAfterBreak="0">
    <w:nsid w:val="2EB76FA7"/>
    <w:multiLevelType w:val="hybridMultilevel"/>
    <w:tmpl w:val="6ED0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3875969">
    <w:abstractNumId w:val="0"/>
  </w:num>
  <w:num w:numId="2" w16cid:durableId="1724598826">
    <w:abstractNumId w:val="1"/>
  </w:num>
  <w:num w:numId="3" w16cid:durableId="825821985">
    <w:abstractNumId w:val="2"/>
  </w:num>
  <w:num w:numId="4" w16cid:durableId="2009745461">
    <w:abstractNumId w:val="3"/>
  </w:num>
  <w:num w:numId="5" w16cid:durableId="534461289">
    <w:abstractNumId w:val="4"/>
  </w:num>
  <w:num w:numId="6" w16cid:durableId="1422608255">
    <w:abstractNumId w:val="5"/>
  </w:num>
  <w:num w:numId="7" w16cid:durableId="1510875585">
    <w:abstractNumId w:val="6"/>
  </w:num>
  <w:num w:numId="8" w16cid:durableId="8759711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103"/>
    <w:rsid w:val="001716CE"/>
    <w:rsid w:val="00242103"/>
    <w:rsid w:val="002A0AEE"/>
    <w:rsid w:val="00567348"/>
    <w:rsid w:val="006F6831"/>
    <w:rsid w:val="00EF66CB"/>
    <w:rsid w:val="00FE4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BAF52"/>
  <w15:docId w15:val="{AA99D334-A6D6-4858-848D-E10EAE54B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Calibri" w:eastAsia="Calibri" w:hAnsi="Calibri" w:cs="Calibri"/>
      <w:sz w:val="24"/>
      <w:szCs w:val="24"/>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ListParagraph">
    <w:name w:val="List Paragraph"/>
    <w:basedOn w:val="Normal"/>
    <w:uiPriority w:val="34"/>
    <w:qFormat/>
    <w:rsid w:val="005673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e8b4ea-44f0-414c-a561-c5296dd2d64b">
      <Terms xmlns="http://schemas.microsoft.com/office/infopath/2007/PartnerControls"/>
    </lcf76f155ced4ddcb4097134ff3c332f>
    <TaxCatchAll xmlns="142ec5f4-2938-4b38-8bc4-0b621f0812c9"/>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AC5600CC22A64097EB8E797E821CC7" ma:contentTypeVersion="13" ma:contentTypeDescription="Create a new document." ma:contentTypeScope="" ma:versionID="b9233811512ff8e38498db550a88fc60">
  <xsd:schema xmlns:xsd="http://www.w3.org/2001/XMLSchema" xmlns:xs="http://www.w3.org/2001/XMLSchema" xmlns:p="http://schemas.microsoft.com/office/2006/metadata/properties" xmlns:ns2="7be8b4ea-44f0-414c-a561-c5296dd2d64b" xmlns:ns3="142ec5f4-2938-4b38-8bc4-0b621f0812c9" targetNamespace="http://schemas.microsoft.com/office/2006/metadata/properties" ma:root="true" ma:fieldsID="4334f3e36be5d6ecf48bb572fa61dcb8" ns2:_="" ns3:_="">
    <xsd:import namespace="7be8b4ea-44f0-414c-a561-c5296dd2d64b"/>
    <xsd:import namespace="142ec5f4-2938-4b38-8bc4-0b621f0812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e8b4ea-44f0-414c-a561-c5296dd2d6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bb6903f-e11a-4fb2-8536-dc481b96cb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2ec5f4-2938-4b38-8bc4-0b621f0812c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312c201-d4ba-4c5e-a121-03213bc18221}" ma:internalName="TaxCatchAll" ma:showField="CatchAllData" ma:web="142ec5f4-2938-4b38-8bc4-0b621f0812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60D8AA-3AEA-4AE4-B73C-531DEC799C08}">
  <ds:schemaRefs>
    <ds:schemaRef ds:uri="http://schemas.microsoft.com/office/2006/metadata/properties"/>
    <ds:schemaRef ds:uri="http://schemas.microsoft.com/office/infopath/2007/PartnerControls"/>
    <ds:schemaRef ds:uri="7be8b4ea-44f0-414c-a561-c5296dd2d64b"/>
    <ds:schemaRef ds:uri="142ec5f4-2938-4b38-8bc4-0b621f0812c9"/>
  </ds:schemaRefs>
</ds:datastoreItem>
</file>

<file path=customXml/itemProps2.xml><?xml version="1.0" encoding="utf-8"?>
<ds:datastoreItem xmlns:ds="http://schemas.openxmlformats.org/officeDocument/2006/customXml" ds:itemID="{68E4505F-24C0-4D33-A615-C26CEDB00CD1}">
  <ds:schemaRefs>
    <ds:schemaRef ds:uri="http://schemas.microsoft.com/sharepoint/v3/contenttype/forms"/>
  </ds:schemaRefs>
</ds:datastoreItem>
</file>

<file path=customXml/itemProps3.xml><?xml version="1.0" encoding="utf-8"?>
<ds:datastoreItem xmlns:ds="http://schemas.openxmlformats.org/officeDocument/2006/customXml" ds:itemID="{F8DA5AC3-352E-4ADA-B01D-CA9B8D588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e8b4ea-44f0-414c-a561-c5296dd2d64b"/>
    <ds:schemaRef ds:uri="142ec5f4-2938-4b38-8bc4-0b621f081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1235</Words>
  <Characters>7042</Characters>
  <Application>Microsoft Office Word</Application>
  <DocSecurity>4</DocSecurity>
  <Lines>58</Lines>
  <Paragraphs>16</Paragraphs>
  <ScaleCrop>false</ScaleCrop>
  <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Starkey Laura</cp:lastModifiedBy>
  <cp:revision>2</cp:revision>
  <dcterms:created xsi:type="dcterms:W3CDTF">2026-08-07T19:22:00Z</dcterms:created>
  <dcterms:modified xsi:type="dcterms:W3CDTF">2026-08-07T19:22:00Z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0x010100C4AC5600CC22A64097EB8E797E821CC7</vt:lpwstr>
  </property>
</Properties>
</file>