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D6A84" w14:textId="77777777" w:rsidR="00BE7747" w:rsidRDefault="00D3474F" w:rsidP="00D3474F">
      <w:pPr>
        <w:jc w:val="right"/>
      </w:pPr>
      <w:r>
        <w:rPr>
          <w:noProof/>
        </w:rPr>
        <w:drawing>
          <wp:inline distT="0" distB="0" distL="0" distR="0" wp14:anchorId="5A29B2CD" wp14:editId="0CBD3951">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6" cstate="print"/>
                    <a:stretch>
                      <a:fillRect/>
                    </a:stretch>
                  </pic:blipFill>
                  <pic:spPr>
                    <a:xfrm>
                      <a:off x="0" y="0"/>
                      <a:ext cx="2133600" cy="411480"/>
                    </a:xfrm>
                    <a:prstGeom prst="rect">
                      <a:avLst/>
                    </a:prstGeom>
                  </pic:spPr>
                </pic:pic>
              </a:graphicData>
            </a:graphic>
          </wp:inline>
        </w:drawing>
      </w:r>
    </w:p>
    <w:p w14:paraId="73BC37B8" w14:textId="77777777" w:rsidR="00D3474F" w:rsidRDefault="00D3474F" w:rsidP="00D3474F">
      <w:pPr>
        <w:pStyle w:val="Title"/>
      </w:pPr>
      <w:r>
        <w:t>Planning</w:t>
      </w:r>
    </w:p>
    <w:p w14:paraId="16B29205" w14:textId="77777777" w:rsidR="00D3474F" w:rsidRDefault="00D3474F" w:rsidP="00D3474F">
      <w:pPr>
        <w:pStyle w:val="Title"/>
      </w:pPr>
      <w:r>
        <w:t>Delegated Officer Report</w:t>
      </w:r>
    </w:p>
    <w:p w14:paraId="5B988D2D"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460DB10D" w14:textId="77777777" w:rsidTr="003E4005">
        <w:tc>
          <w:tcPr>
            <w:tcW w:w="2830" w:type="dxa"/>
          </w:tcPr>
          <w:p w14:paraId="066CDC81" w14:textId="77777777" w:rsidR="00D3474F" w:rsidRDefault="00D3474F" w:rsidP="00D3474F">
            <w:pPr>
              <w:pStyle w:val="Heading2"/>
            </w:pPr>
            <w:r>
              <w:t>Application reference:</w:t>
            </w:r>
          </w:p>
        </w:tc>
        <w:tc>
          <w:tcPr>
            <w:tcW w:w="7364" w:type="dxa"/>
          </w:tcPr>
          <w:p w14:paraId="1953FC95" w14:textId="77777777" w:rsidR="00D3474F" w:rsidRDefault="00D3474F" w:rsidP="00D3474F">
            <w:r>
              <w:t>PLA-2026-000157</w:t>
            </w:r>
          </w:p>
        </w:tc>
      </w:tr>
      <w:tr w:rsidR="00D3474F" w14:paraId="4CAA5550" w14:textId="77777777" w:rsidTr="003E4005">
        <w:tc>
          <w:tcPr>
            <w:tcW w:w="2830" w:type="dxa"/>
          </w:tcPr>
          <w:p w14:paraId="164E2029" w14:textId="77777777" w:rsidR="00D3474F" w:rsidRDefault="00D3474F" w:rsidP="00D3474F">
            <w:pPr>
              <w:pStyle w:val="Heading2"/>
            </w:pPr>
            <w:r>
              <w:t>Application type:</w:t>
            </w:r>
          </w:p>
        </w:tc>
        <w:tc>
          <w:tcPr>
            <w:tcW w:w="7364" w:type="dxa"/>
          </w:tcPr>
          <w:p w14:paraId="4E346F9A" w14:textId="77777777" w:rsidR="00D3474F" w:rsidRDefault="003E4005" w:rsidP="00D3474F">
            <w:r>
              <w:t>Lawful development: Existing use</w:t>
            </w:r>
          </w:p>
        </w:tc>
      </w:tr>
      <w:tr w:rsidR="00D3474F" w14:paraId="31765F16" w14:textId="77777777" w:rsidTr="003E4005">
        <w:tc>
          <w:tcPr>
            <w:tcW w:w="2830" w:type="dxa"/>
          </w:tcPr>
          <w:p w14:paraId="3D97CD42" w14:textId="77777777" w:rsidR="00D3474F" w:rsidRDefault="00D3474F" w:rsidP="00D3474F">
            <w:pPr>
              <w:pStyle w:val="Heading2"/>
            </w:pPr>
            <w:r>
              <w:t>Proposal:</w:t>
            </w:r>
          </w:p>
        </w:tc>
        <w:tc>
          <w:tcPr>
            <w:tcW w:w="7364" w:type="dxa"/>
          </w:tcPr>
          <w:p w14:paraId="03AA25BC" w14:textId="77777777" w:rsidR="00D3474F" w:rsidRDefault="00D3474F" w:rsidP="00D3474F">
            <w:r w:rsidRPr="00F01B50">
              <w:rPr>
                <w:rFonts w:cs="Arial"/>
              </w:rPr>
              <w:t>Use of property as a small House in Multiple Occupation (Use Class C4).</w:t>
            </w:r>
          </w:p>
        </w:tc>
      </w:tr>
      <w:tr w:rsidR="00D3474F" w14:paraId="0DB95633" w14:textId="77777777" w:rsidTr="003E4005">
        <w:tc>
          <w:tcPr>
            <w:tcW w:w="2830" w:type="dxa"/>
          </w:tcPr>
          <w:p w14:paraId="252A94E7" w14:textId="77777777" w:rsidR="00D3474F" w:rsidRDefault="00D3474F" w:rsidP="00D3474F">
            <w:pPr>
              <w:pStyle w:val="Heading2"/>
            </w:pPr>
            <w:r>
              <w:t>Site address:</w:t>
            </w:r>
          </w:p>
        </w:tc>
        <w:tc>
          <w:tcPr>
            <w:tcW w:w="7364" w:type="dxa"/>
          </w:tcPr>
          <w:p w14:paraId="6D9F2773" w14:textId="77777777" w:rsidR="00D3474F" w:rsidRDefault="00F96A58" w:rsidP="00D3474F">
            <w:r w:rsidRPr="00F96A58">
              <w:rPr>
                <w:rFonts w:cs="Arial"/>
              </w:rPr>
              <w:t>14 DRIFFIELD STREET MANCHESTER M14 7HZ</w:t>
            </w:r>
          </w:p>
        </w:tc>
      </w:tr>
      <w:tr w:rsidR="00D3474F" w14:paraId="23A192FA" w14:textId="77777777" w:rsidTr="003E4005">
        <w:tc>
          <w:tcPr>
            <w:tcW w:w="2830" w:type="dxa"/>
          </w:tcPr>
          <w:p w14:paraId="1A2C99E7" w14:textId="77777777" w:rsidR="00D3474F" w:rsidRDefault="00D3474F" w:rsidP="00D3474F">
            <w:pPr>
              <w:pStyle w:val="Heading2"/>
            </w:pPr>
            <w:r>
              <w:t>Ward(s):</w:t>
            </w:r>
          </w:p>
        </w:tc>
        <w:tc>
          <w:tcPr>
            <w:tcW w:w="7364" w:type="dxa"/>
          </w:tcPr>
          <w:p w14:paraId="3C18EF50" w14:textId="77777777" w:rsidR="00D3474F" w:rsidRDefault="00D3474F" w:rsidP="00D3474F">
            <w:r w:rsidRPr="00F01B50">
              <w:rPr>
                <w:rFonts w:cs="Arial"/>
                <w:bCs/>
              </w:rPr>
              <w:t>Whalley Range</w:t>
            </w:r>
          </w:p>
        </w:tc>
      </w:tr>
      <w:tr w:rsidR="00D3474F" w14:paraId="413F2711" w14:textId="77777777" w:rsidTr="003E4005">
        <w:tc>
          <w:tcPr>
            <w:tcW w:w="2830" w:type="dxa"/>
          </w:tcPr>
          <w:p w14:paraId="08903C2B" w14:textId="77777777" w:rsidR="00D3474F" w:rsidRDefault="00D3474F" w:rsidP="00D3474F">
            <w:pPr>
              <w:pStyle w:val="Heading2"/>
            </w:pPr>
            <w:r>
              <w:t>Date application valid:</w:t>
            </w:r>
          </w:p>
        </w:tc>
        <w:tc>
          <w:tcPr>
            <w:tcW w:w="7364" w:type="dxa"/>
          </w:tcPr>
          <w:p w14:paraId="2060EBB4" w14:textId="77777777" w:rsidR="00D3474F" w:rsidRPr="00F01B50" w:rsidRDefault="00D3474F" w:rsidP="00D3474F">
            <w:pPr>
              <w:rPr>
                <w:rFonts w:cs="Arial"/>
                <w:bCs/>
              </w:rPr>
            </w:pPr>
            <w:r w:rsidRPr="00F01B50">
              <w:rPr>
                <w:rFonts w:eastAsia="MS Mincho" w:cs="Arial"/>
                <w:kern w:val="0"/>
                <w14:ligatures w14:val="none"/>
              </w:rPr>
              <w:t>01 May 2026</w:t>
            </w:r>
          </w:p>
        </w:tc>
      </w:tr>
      <w:tr w:rsidR="00D3474F" w14:paraId="3ADDA08A" w14:textId="77777777" w:rsidTr="003E4005">
        <w:tc>
          <w:tcPr>
            <w:tcW w:w="2830" w:type="dxa"/>
          </w:tcPr>
          <w:p w14:paraId="2ECA8660" w14:textId="77777777" w:rsidR="00D3474F" w:rsidRDefault="00D3474F" w:rsidP="00D3474F">
            <w:pPr>
              <w:pStyle w:val="Heading2"/>
            </w:pPr>
            <w:r>
              <w:t>Applicant name:</w:t>
            </w:r>
          </w:p>
        </w:tc>
        <w:tc>
          <w:tcPr>
            <w:tcW w:w="7364" w:type="dxa"/>
          </w:tcPr>
          <w:p w14:paraId="2A91EA7E" w14:textId="77777777" w:rsidR="00D3474F" w:rsidRDefault="00D3474F" w:rsidP="00D3474F">
            <w:r w:rsidRPr="00F01B50">
              <w:rPr>
                <w:rFonts w:cs="Arial"/>
              </w:rPr>
              <w:t>Sadie Malim</w:t>
            </w:r>
          </w:p>
        </w:tc>
      </w:tr>
      <w:tr w:rsidR="00D3474F" w14:paraId="5D6208FE" w14:textId="77777777" w:rsidTr="003E4005">
        <w:tc>
          <w:tcPr>
            <w:tcW w:w="2830" w:type="dxa"/>
          </w:tcPr>
          <w:p w14:paraId="6364B3E2" w14:textId="77777777" w:rsidR="00D3474F" w:rsidRDefault="00D3474F" w:rsidP="00D3474F">
            <w:pPr>
              <w:pStyle w:val="Heading2"/>
            </w:pPr>
            <w:r>
              <w:t>Agent (if any):</w:t>
            </w:r>
          </w:p>
        </w:tc>
        <w:tc>
          <w:tcPr>
            <w:tcW w:w="7364" w:type="dxa"/>
          </w:tcPr>
          <w:p w14:paraId="2955D891" w14:textId="77777777" w:rsidR="00D3474F" w:rsidRDefault="00D3474F" w:rsidP="00D3474F">
            <w:r>
              <w:t>Mr Thomas Humphreys</w:t>
            </w:r>
          </w:p>
        </w:tc>
      </w:tr>
      <w:tr w:rsidR="00D3474F" w14:paraId="28A7E0A6" w14:textId="77777777" w:rsidTr="003E4005">
        <w:tc>
          <w:tcPr>
            <w:tcW w:w="2830" w:type="dxa"/>
          </w:tcPr>
          <w:p w14:paraId="14FFDBB5" w14:textId="77777777" w:rsidR="00D3474F" w:rsidRDefault="00D3474F" w:rsidP="00D3474F">
            <w:pPr>
              <w:pStyle w:val="Heading2"/>
            </w:pPr>
            <w:r>
              <w:t>Case officer:</w:t>
            </w:r>
          </w:p>
        </w:tc>
        <w:tc>
          <w:tcPr>
            <w:tcW w:w="7364" w:type="dxa"/>
          </w:tcPr>
          <w:p w14:paraId="369C63A7" w14:textId="77777777" w:rsidR="00D3474F" w:rsidRDefault="00D3474F" w:rsidP="00D3474F">
            <w:r>
              <w:t>Robert Tyrer</w:t>
            </w:r>
          </w:p>
        </w:tc>
      </w:tr>
      <w:tr w:rsidR="00D3474F" w14:paraId="0C5639E1" w14:textId="77777777" w:rsidTr="003E4005">
        <w:tc>
          <w:tcPr>
            <w:tcW w:w="2830" w:type="dxa"/>
          </w:tcPr>
          <w:p w14:paraId="4B62181F" w14:textId="77777777" w:rsidR="00D3474F" w:rsidRDefault="00D3474F" w:rsidP="00D3474F">
            <w:pPr>
              <w:pStyle w:val="Heading2"/>
            </w:pPr>
            <w:r>
              <w:t>Recommendation:</w:t>
            </w:r>
          </w:p>
        </w:tc>
        <w:tc>
          <w:tcPr>
            <w:tcW w:w="7364" w:type="dxa"/>
          </w:tcPr>
          <w:p w14:paraId="0D44329C" w14:textId="5F2A557E" w:rsidR="00D3474F" w:rsidRDefault="00CB2F8F" w:rsidP="00D3474F">
            <w:r>
              <w:t>Refuse</w:t>
            </w:r>
          </w:p>
        </w:tc>
      </w:tr>
      <w:tr w:rsidR="00D3474F" w14:paraId="39BE46C9" w14:textId="77777777" w:rsidTr="003E4005">
        <w:tc>
          <w:tcPr>
            <w:tcW w:w="2830" w:type="dxa"/>
          </w:tcPr>
          <w:p w14:paraId="62F730D9" w14:textId="77777777" w:rsidR="00D3474F" w:rsidRDefault="00D3474F" w:rsidP="00D3474F">
            <w:pPr>
              <w:pStyle w:val="Heading2"/>
            </w:pPr>
            <w:r>
              <w:t>Date of recommendation:</w:t>
            </w:r>
          </w:p>
        </w:tc>
        <w:tc>
          <w:tcPr>
            <w:tcW w:w="7364" w:type="dxa"/>
          </w:tcPr>
          <w:p w14:paraId="4019D2F1" w14:textId="4786DD05" w:rsidR="00D3474F" w:rsidRDefault="006822CE" w:rsidP="00D3474F">
            <w:r>
              <w:t>20</w:t>
            </w:r>
            <w:r w:rsidR="00F97EBE">
              <w:t>/07/2026</w:t>
            </w:r>
          </w:p>
        </w:tc>
      </w:tr>
    </w:tbl>
    <w:p w14:paraId="53AE61B0" w14:textId="77777777" w:rsidR="00D3474F" w:rsidRDefault="00D3474F" w:rsidP="00D3474F"/>
    <w:p w14:paraId="63E68084" w14:textId="77777777" w:rsidR="00EF3E10" w:rsidRDefault="00EF3E10" w:rsidP="001A0B7A">
      <w:pPr>
        <w:pStyle w:val="Heading1"/>
        <w:jc w:val="both"/>
      </w:pPr>
      <w:r>
        <w:t>Description of site, building and/or area</w:t>
      </w:r>
    </w:p>
    <w:p w14:paraId="1CDD3128" w14:textId="77777777" w:rsidR="005B1B51" w:rsidRDefault="005B1B51" w:rsidP="001A0B7A">
      <w:pPr>
        <w:pStyle w:val="NormalWeb"/>
        <w:jc w:val="both"/>
        <w:divId w:val="1745568124"/>
        <w:rPr>
          <w:rFonts w:ascii="Arial" w:hAnsi="Arial" w:cs="Arial"/>
          <w:color w:val="000000"/>
        </w:rPr>
      </w:pPr>
      <w:r>
        <w:rPr>
          <w:rFonts w:ascii="Arial" w:hAnsi="Arial" w:cs="Arial"/>
          <w:color w:val="000000"/>
        </w:rPr>
        <w:t>Application site relates to a two-storey mid-terraced dwellinghouse, located within a predominantly residential area. </w:t>
      </w:r>
    </w:p>
    <w:p w14:paraId="6CB37FE7" w14:textId="77777777" w:rsidR="00EF3E10" w:rsidRDefault="00EF3E10" w:rsidP="001A0B7A">
      <w:pPr>
        <w:pStyle w:val="Heading1"/>
        <w:jc w:val="both"/>
      </w:pPr>
      <w:r>
        <w:t>Description of development</w:t>
      </w:r>
    </w:p>
    <w:p w14:paraId="3D3EBFD9" w14:textId="77777777" w:rsidR="005B1B51" w:rsidRDefault="005B1B51" w:rsidP="001A0B7A">
      <w:pPr>
        <w:pStyle w:val="NormalWeb"/>
        <w:jc w:val="both"/>
        <w:divId w:val="1524367757"/>
        <w:rPr>
          <w:rFonts w:ascii="Arial" w:hAnsi="Arial" w:cs="Arial"/>
          <w:color w:val="000000"/>
        </w:rPr>
      </w:pPr>
      <w:r>
        <w:rPr>
          <w:rFonts w:ascii="Arial" w:hAnsi="Arial" w:cs="Arial"/>
          <w:color w:val="000000"/>
        </w:rPr>
        <w:t>The applicant is seeking a Certificate of Lawful Existing Use (CLEU) for the use of property as a small House in Multiple Occupation (Use Class C4).</w:t>
      </w:r>
    </w:p>
    <w:p w14:paraId="2B52B649" w14:textId="77777777" w:rsidR="00EF3E10" w:rsidRDefault="00EF3E10" w:rsidP="001A0B7A">
      <w:pPr>
        <w:pStyle w:val="Heading1"/>
        <w:jc w:val="both"/>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3E4D9A91" w14:textId="77777777" w:rsidTr="00B75EB9">
        <w:tc>
          <w:tcPr>
            <w:tcW w:w="10336" w:type="dxa"/>
          </w:tcPr>
          <w:p w14:paraId="1F27C8D1" w14:textId="2148D728" w:rsidR="00D66B55" w:rsidRPr="009640BF" w:rsidRDefault="00B460AF" w:rsidP="001A0B7A">
            <w:pPr>
              <w:jc w:val="both"/>
              <w:rPr>
                <w:b/>
                <w:bCs/>
              </w:rPr>
            </w:pPr>
            <w:r w:rsidRPr="009640BF">
              <w:rPr>
                <w:b/>
                <w:bCs/>
              </w:rPr>
              <w:t>137034/LE/2023</w:t>
            </w:r>
          </w:p>
          <w:tbl>
            <w:tblPr>
              <w:tblStyle w:val="TableGrid"/>
              <w:tblW w:w="10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6126"/>
              <w:gridCol w:w="4117"/>
            </w:tblGrid>
            <w:tr w:rsidR="00B17001" w:rsidRPr="00D66B55" w14:paraId="06D0C009" w14:textId="77777777" w:rsidTr="009640BF">
              <w:tc>
                <w:tcPr>
                  <w:tcW w:w="6126" w:type="dxa"/>
                </w:tcPr>
                <w:p w14:paraId="544FB98A" w14:textId="77777777" w:rsidR="00B17001" w:rsidRPr="009640BF" w:rsidRDefault="00B17001" w:rsidP="001A0B7A">
                  <w:pPr>
                    <w:jc w:val="both"/>
                    <w:rPr>
                      <w:rFonts w:cs="Arial"/>
                      <w:sz w:val="22"/>
                      <w:szCs w:val="22"/>
                    </w:rPr>
                  </w:pPr>
                  <w:r w:rsidRPr="009640BF">
                    <w:rPr>
                      <w:rFonts w:cs="Arial"/>
                      <w:sz w:val="22"/>
                      <w:szCs w:val="22"/>
                    </w:rPr>
                    <w:t>Use of property as a small House in Multiple Occupation (Use Class C4).</w:t>
                  </w:r>
                </w:p>
              </w:tc>
              <w:tc>
                <w:tcPr>
                  <w:tcW w:w="4117" w:type="dxa"/>
                </w:tcPr>
                <w:p w14:paraId="118DC524" w14:textId="703381C8" w:rsidR="00B460AF" w:rsidRPr="00D66B55" w:rsidRDefault="00B460AF" w:rsidP="001A0B7A">
                  <w:pPr>
                    <w:jc w:val="both"/>
                    <w:rPr>
                      <w:rFonts w:cs="Arial"/>
                      <w:sz w:val="22"/>
                      <w:szCs w:val="22"/>
                    </w:rPr>
                  </w:pPr>
                </w:p>
              </w:tc>
            </w:tr>
            <w:tr w:rsidR="006822CE" w:rsidRPr="00D66B55" w14:paraId="7D5CCA48" w14:textId="77777777" w:rsidTr="009640BF">
              <w:tc>
                <w:tcPr>
                  <w:tcW w:w="6126" w:type="dxa"/>
                </w:tcPr>
                <w:p w14:paraId="4D8BD302" w14:textId="77777777" w:rsidR="006822CE" w:rsidRDefault="006822CE" w:rsidP="006822CE">
                  <w:pPr>
                    <w:jc w:val="both"/>
                    <w:rPr>
                      <w:rFonts w:cs="Arial"/>
                      <w:sz w:val="22"/>
                      <w:szCs w:val="22"/>
                    </w:rPr>
                  </w:pPr>
                  <w:r>
                    <w:rPr>
                      <w:rFonts w:cs="Arial"/>
                      <w:sz w:val="22"/>
                      <w:szCs w:val="22"/>
                    </w:rPr>
                    <w:t>Decision: Refused</w:t>
                  </w:r>
                </w:p>
                <w:p w14:paraId="6F2C311E" w14:textId="082AE22D" w:rsidR="006822CE" w:rsidRPr="00B75EB9" w:rsidRDefault="006822CE" w:rsidP="006822CE">
                  <w:pPr>
                    <w:jc w:val="both"/>
                    <w:rPr>
                      <w:rFonts w:cs="Arial"/>
                      <w:b/>
                      <w:bCs/>
                      <w:sz w:val="22"/>
                      <w:szCs w:val="22"/>
                    </w:rPr>
                  </w:pPr>
                  <w:r>
                    <w:rPr>
                      <w:rFonts w:cs="Arial"/>
                      <w:sz w:val="22"/>
                      <w:szCs w:val="22"/>
                    </w:rPr>
                    <w:t>Date: 07/08/2023</w:t>
                  </w:r>
                </w:p>
              </w:tc>
              <w:tc>
                <w:tcPr>
                  <w:tcW w:w="4117" w:type="dxa"/>
                </w:tcPr>
                <w:p w14:paraId="0D652C2F" w14:textId="77777777" w:rsidR="006822CE" w:rsidRDefault="006822CE" w:rsidP="001A0B7A">
                  <w:pPr>
                    <w:jc w:val="both"/>
                    <w:rPr>
                      <w:rFonts w:cs="Arial"/>
                      <w:sz w:val="22"/>
                      <w:szCs w:val="22"/>
                    </w:rPr>
                  </w:pPr>
                </w:p>
              </w:tc>
            </w:tr>
            <w:tr w:rsidR="009640BF" w:rsidRPr="00D66B55" w14:paraId="5DB9331B" w14:textId="77777777" w:rsidTr="009640BF">
              <w:tc>
                <w:tcPr>
                  <w:tcW w:w="6126" w:type="dxa"/>
                </w:tcPr>
                <w:p w14:paraId="43B9D64F" w14:textId="28E9813E" w:rsidR="009640BF" w:rsidRDefault="009640BF" w:rsidP="006822CE">
                  <w:pPr>
                    <w:jc w:val="both"/>
                    <w:rPr>
                      <w:rFonts w:cs="Arial"/>
                      <w:sz w:val="22"/>
                      <w:szCs w:val="22"/>
                    </w:rPr>
                  </w:pPr>
                  <w:r>
                    <w:rPr>
                      <w:rFonts w:cs="Arial"/>
                      <w:sz w:val="22"/>
                      <w:szCs w:val="22"/>
                    </w:rPr>
                    <w:t>Reason:</w:t>
                  </w:r>
                </w:p>
                <w:p w14:paraId="4B073D91" w14:textId="0020A773" w:rsidR="009640BF" w:rsidRDefault="009640BF" w:rsidP="006822CE">
                  <w:pPr>
                    <w:jc w:val="both"/>
                    <w:rPr>
                      <w:rFonts w:cs="Arial"/>
                      <w:sz w:val="22"/>
                      <w:szCs w:val="22"/>
                    </w:rPr>
                  </w:pPr>
                  <w:r w:rsidRPr="009640BF">
                    <w:rPr>
                      <w:rFonts w:cs="Arial"/>
                      <w:sz w:val="22"/>
                      <w:szCs w:val="22"/>
                    </w:rPr>
                    <w:t>The applicant has failed to demonstrate that number 14 Driffield Street, Manchester, M14 HZ has been occupied as a small house in multiple occupation (Use Class C4 of the schedule to the Town and Country Planning (Use Classes) Order 1987 (as amended)) for a continual 10 year period up to the date of the application.</w:t>
                  </w:r>
                </w:p>
              </w:tc>
              <w:tc>
                <w:tcPr>
                  <w:tcW w:w="4117" w:type="dxa"/>
                </w:tcPr>
                <w:p w14:paraId="6FD1C681" w14:textId="77777777" w:rsidR="009640BF" w:rsidRDefault="009640BF" w:rsidP="001A0B7A">
                  <w:pPr>
                    <w:jc w:val="both"/>
                    <w:rPr>
                      <w:rFonts w:cs="Arial"/>
                      <w:sz w:val="22"/>
                      <w:szCs w:val="22"/>
                    </w:rPr>
                  </w:pPr>
                </w:p>
              </w:tc>
            </w:tr>
          </w:tbl>
          <w:p w14:paraId="1163D777" w14:textId="77777777" w:rsidR="00D66B55" w:rsidRDefault="00D66B55" w:rsidP="001A0B7A">
            <w:pPr>
              <w:jc w:val="both"/>
            </w:pPr>
          </w:p>
        </w:tc>
      </w:tr>
    </w:tbl>
    <w:p w14:paraId="422F7834" w14:textId="77777777" w:rsidR="00EF3E10" w:rsidRDefault="00C62A32" w:rsidP="001A0B7A">
      <w:pPr>
        <w:pStyle w:val="Heading1"/>
        <w:jc w:val="both"/>
      </w:pPr>
      <w:r>
        <w:lastRenderedPageBreak/>
        <w:t>Consultation, notification and publicity responses</w:t>
      </w:r>
    </w:p>
    <w:p w14:paraId="0D679D67" w14:textId="77777777" w:rsidR="005B1B51" w:rsidRDefault="005B1B51" w:rsidP="001A0B7A">
      <w:pPr>
        <w:pStyle w:val="NormalWeb"/>
        <w:jc w:val="both"/>
        <w:divId w:val="1685982271"/>
        <w:rPr>
          <w:rFonts w:ascii="Arial" w:hAnsi="Arial" w:cs="Arial"/>
          <w:color w:val="000000"/>
        </w:rPr>
      </w:pPr>
      <w:r>
        <w:rPr>
          <w:rFonts w:ascii="Arial" w:hAnsi="Arial" w:cs="Arial"/>
          <w:color w:val="000000"/>
        </w:rPr>
        <w:t>No objections, comments or representations in support of the application have been received. </w:t>
      </w:r>
    </w:p>
    <w:p w14:paraId="616F87FA" w14:textId="77777777" w:rsidR="005B1B51" w:rsidRPr="00B460AF" w:rsidRDefault="005B1B51" w:rsidP="001A0B7A">
      <w:pPr>
        <w:pStyle w:val="NormalWeb"/>
        <w:jc w:val="both"/>
        <w:divId w:val="66388538"/>
        <w:rPr>
          <w:rFonts w:ascii="Arial" w:hAnsi="Arial" w:cs="Arial"/>
          <w:color w:val="000000"/>
          <w:sz w:val="28"/>
          <w:szCs w:val="28"/>
        </w:rPr>
      </w:pPr>
      <w:r w:rsidRPr="00B460AF">
        <w:rPr>
          <w:rStyle w:val="Strong"/>
          <w:rFonts w:ascii="Arial" w:hAnsi="Arial" w:cs="Arial"/>
          <w:color w:val="000000"/>
          <w:sz w:val="28"/>
          <w:szCs w:val="28"/>
          <w:u w:val="single"/>
        </w:rPr>
        <w:t>Legislative Issues</w:t>
      </w:r>
    </w:p>
    <w:p w14:paraId="0EC0651B" w14:textId="77777777" w:rsidR="005B1B51" w:rsidRDefault="005B1B51" w:rsidP="001A0B7A">
      <w:pPr>
        <w:pStyle w:val="NormalWeb"/>
        <w:jc w:val="both"/>
        <w:divId w:val="66388538"/>
        <w:rPr>
          <w:rFonts w:ascii="Arial" w:hAnsi="Arial" w:cs="Arial"/>
          <w:color w:val="000000"/>
        </w:rPr>
      </w:pPr>
      <w:r>
        <w:rPr>
          <w:rFonts w:ascii="Arial" w:hAnsi="Arial" w:cs="Arial"/>
          <w:color w:val="000000"/>
        </w:rPr>
        <w:t>Sections 191 and 192 of the Town and Country Planning Act 1990 provide for anyone (not just a person with a legal interest in the land) to apply to the local planning authority (LPA) for a lawful development certificate (LDC). A certificate is a statutory document certifying:</w:t>
      </w:r>
    </w:p>
    <w:p w14:paraId="5DF9808F" w14:textId="77777777" w:rsidR="009640BF" w:rsidRDefault="005B1B51" w:rsidP="00247015">
      <w:pPr>
        <w:pStyle w:val="ql-indent-1"/>
        <w:numPr>
          <w:ilvl w:val="0"/>
          <w:numId w:val="7"/>
        </w:numPr>
        <w:jc w:val="both"/>
        <w:divId w:val="66388538"/>
        <w:rPr>
          <w:rFonts w:ascii="Arial" w:hAnsi="Arial" w:cs="Arial"/>
          <w:color w:val="000000"/>
        </w:rPr>
      </w:pPr>
      <w:r w:rsidRPr="009640BF">
        <w:rPr>
          <w:rFonts w:ascii="Arial" w:hAnsi="Arial" w:cs="Arial"/>
          <w:color w:val="000000"/>
        </w:rPr>
        <w:t>in the case of an application under section 191, the lawfulness, for planning purposes, of existing operations on, or use of land, or some activity being carried out in breach of a planning condition; or</w:t>
      </w:r>
    </w:p>
    <w:p w14:paraId="654767C9" w14:textId="32400B2D" w:rsidR="005B1B51" w:rsidRPr="009640BF" w:rsidRDefault="005B1B51" w:rsidP="00247015">
      <w:pPr>
        <w:pStyle w:val="ql-indent-1"/>
        <w:numPr>
          <w:ilvl w:val="0"/>
          <w:numId w:val="7"/>
        </w:numPr>
        <w:jc w:val="both"/>
        <w:divId w:val="66388538"/>
        <w:rPr>
          <w:rFonts w:ascii="Arial" w:hAnsi="Arial" w:cs="Arial"/>
          <w:color w:val="000000"/>
        </w:rPr>
      </w:pPr>
      <w:r w:rsidRPr="009640BF">
        <w:rPr>
          <w:rFonts w:ascii="Arial" w:hAnsi="Arial" w:cs="Arial"/>
          <w:color w:val="000000"/>
        </w:rPr>
        <w:t>in the case of an application under section 192, the lawfulness of proposed operations on, or use of land.</w:t>
      </w:r>
    </w:p>
    <w:p w14:paraId="7F658772" w14:textId="77777777" w:rsidR="005B1B51" w:rsidRDefault="005B1B51" w:rsidP="001A0B7A">
      <w:pPr>
        <w:pStyle w:val="NormalWeb"/>
        <w:jc w:val="both"/>
        <w:divId w:val="66388538"/>
        <w:rPr>
          <w:rFonts w:ascii="Arial" w:hAnsi="Arial" w:cs="Arial"/>
          <w:color w:val="000000"/>
        </w:rPr>
      </w:pPr>
      <w:r>
        <w:rPr>
          <w:rFonts w:ascii="Arial" w:hAnsi="Arial" w:cs="Arial"/>
          <w:color w:val="000000"/>
        </w:rPr>
        <w:t>The onus of proof in regard to (1) is firmly on the applicant and the issue of a certificate will depend on the on factual evidence provided about the history and planning status of the building or other land and the interpretation of any relevant planning law or judicial authority. The relevant test of the evidence in this matter is “the balance of probability” and the applicants own evidence does not need to be corroborated by independent evidence. If the LPA have no evidence to contradict the applicants version of events or make them less then probable, there is no good reason to refuse the issue of a certificate.</w:t>
      </w:r>
    </w:p>
    <w:p w14:paraId="750A2329" w14:textId="77777777" w:rsidR="005B1B51" w:rsidRDefault="005B1B51" w:rsidP="00CB2F8F">
      <w:pPr>
        <w:pStyle w:val="NormalWeb"/>
        <w:jc w:val="both"/>
        <w:divId w:val="66388538"/>
        <w:rPr>
          <w:rFonts w:ascii="Arial" w:hAnsi="Arial" w:cs="Arial"/>
          <w:color w:val="000000"/>
        </w:rPr>
      </w:pPr>
      <w:r>
        <w:rPr>
          <w:rFonts w:ascii="Arial" w:hAnsi="Arial" w:cs="Arial"/>
          <w:color w:val="000000"/>
        </w:rPr>
        <w:t>In regard to (2), this provides that, if the LPA are supplied with information satisfying them that the use or operations described in the application would be lawful, if instituted or begun at the time of the application, they shall issue a certificate to that effect; and, in any other case, they shall refuse the application. </w:t>
      </w:r>
    </w:p>
    <w:p w14:paraId="20F3DAC0" w14:textId="77777777" w:rsidR="005B1B51" w:rsidRDefault="005B1B51" w:rsidP="00CB2F8F">
      <w:pPr>
        <w:pStyle w:val="NormalWeb"/>
        <w:jc w:val="both"/>
        <w:divId w:val="66388538"/>
        <w:rPr>
          <w:rFonts w:ascii="Arial" w:hAnsi="Arial" w:cs="Arial"/>
          <w:color w:val="000000"/>
        </w:rPr>
      </w:pPr>
      <w:r>
        <w:rPr>
          <w:rFonts w:ascii="Arial" w:hAnsi="Arial" w:cs="Arial"/>
          <w:color w:val="000000"/>
        </w:rPr>
        <w:t>In short, the purpose section 192 is to enable any person who wishes to find out whether any proposed use or operations would be lawful to apply to the LPA for that purpose </w:t>
      </w:r>
    </w:p>
    <w:p w14:paraId="461BBF28" w14:textId="77777777" w:rsidR="005B1B51" w:rsidRDefault="005B1B51" w:rsidP="00CB2F8F">
      <w:pPr>
        <w:pStyle w:val="NormalWeb"/>
        <w:jc w:val="both"/>
        <w:divId w:val="66388538"/>
        <w:rPr>
          <w:rFonts w:ascii="Arial" w:hAnsi="Arial" w:cs="Arial"/>
          <w:color w:val="000000"/>
        </w:rPr>
      </w:pPr>
      <w:r>
        <w:rPr>
          <w:rFonts w:ascii="Arial" w:hAnsi="Arial" w:cs="Arial"/>
          <w:color w:val="000000"/>
        </w:rPr>
        <w:t>The application needs to describe the proposal with sufficient clarity and precision to enable the LPA to understand (from a written description and plans) exactly what is involved in the proposal; and to submit whatever supporting information or legal submission that are to be relied upon in order to satisfy the LPA that a certificate should be granted for the proposal.</w:t>
      </w:r>
    </w:p>
    <w:p w14:paraId="31813F58" w14:textId="77777777" w:rsidR="005B1B51" w:rsidRDefault="005B1B51" w:rsidP="00CB2F8F">
      <w:pPr>
        <w:pStyle w:val="NormalWeb"/>
        <w:jc w:val="both"/>
        <w:divId w:val="66388538"/>
        <w:rPr>
          <w:rFonts w:ascii="Arial" w:hAnsi="Arial" w:cs="Arial"/>
          <w:color w:val="000000"/>
        </w:rPr>
      </w:pPr>
      <w:r>
        <w:rPr>
          <w:rFonts w:ascii="Arial" w:hAnsi="Arial" w:cs="Arial"/>
          <w:color w:val="000000"/>
        </w:rPr>
        <w:t>In making their decision on an application under section 192, the LPA ask themselves the hypothetical question - "If this proposed change of use had already occurred, or if this proposed operation had commenced, on the application date, would it have been lawful for planning purposes?" In doing so, the LPA will not only consider whether the proposal would involve "development" requiring an application for planning permission, but whether it would involve a breach of any existing condition or limitation imposed on a grant of planning permission which has been acted upon, and which therefore constrains what can be done on the land. The LPA will not make a proposal fit a scenario; the only question is whether the proposal made by the applicant is lawful at the time of submission.</w:t>
      </w:r>
    </w:p>
    <w:p w14:paraId="189639AC" w14:textId="77777777" w:rsidR="00EF3E10" w:rsidRDefault="00EF3E10" w:rsidP="00CB2F8F">
      <w:pPr>
        <w:pStyle w:val="Heading1"/>
        <w:jc w:val="both"/>
      </w:pPr>
      <w:r>
        <w:t>Assessment</w:t>
      </w:r>
    </w:p>
    <w:p w14:paraId="562F3734" w14:textId="77777777" w:rsidR="005B1B51" w:rsidRDefault="005B1B51" w:rsidP="00CB2F8F">
      <w:pPr>
        <w:pStyle w:val="NormalWeb"/>
        <w:jc w:val="both"/>
        <w:divId w:val="912861128"/>
        <w:rPr>
          <w:rFonts w:ascii="Arial" w:hAnsi="Arial" w:cs="Arial"/>
          <w:color w:val="000000"/>
        </w:rPr>
      </w:pPr>
      <w:r>
        <w:rPr>
          <w:rFonts w:ascii="Arial" w:hAnsi="Arial" w:cs="Arial"/>
          <w:color w:val="000000"/>
        </w:rPr>
        <w:t>This application is pursued under subsection (1) of section 191 which provides for an application to determine whether a specified existing use of buildings or other land(s191(1)(a)), operation (s191(1)(b)), or failure to comply with a planning condition or limitation (s191(1)(c)), which has already been carried out on the land and is lawful for planning purposes.</w:t>
      </w:r>
    </w:p>
    <w:p w14:paraId="6C6596D0" w14:textId="77777777" w:rsidR="005B1B51" w:rsidRDefault="005B1B51" w:rsidP="00CB2F8F">
      <w:pPr>
        <w:pStyle w:val="NormalWeb"/>
        <w:jc w:val="both"/>
        <w:divId w:val="912861128"/>
        <w:rPr>
          <w:rFonts w:ascii="Arial" w:hAnsi="Arial" w:cs="Arial"/>
          <w:color w:val="000000"/>
        </w:rPr>
      </w:pPr>
      <w:r>
        <w:rPr>
          <w:rFonts w:ascii="Arial" w:hAnsi="Arial" w:cs="Arial"/>
          <w:color w:val="000000"/>
        </w:rPr>
        <w:lastRenderedPageBreak/>
        <w:t xml:space="preserve">The application form specifies that the existing use falls within the following use class. </w:t>
      </w:r>
    </w:p>
    <w:p w14:paraId="10578A00" w14:textId="77777777" w:rsidR="005B1B51" w:rsidRDefault="005B1B51" w:rsidP="00CB2F8F">
      <w:pPr>
        <w:pStyle w:val="NormalWeb"/>
        <w:jc w:val="both"/>
        <w:divId w:val="912861128"/>
        <w:rPr>
          <w:rFonts w:ascii="Arial" w:hAnsi="Arial" w:cs="Arial"/>
          <w:color w:val="000000"/>
        </w:rPr>
      </w:pPr>
      <w:r>
        <w:rPr>
          <w:rFonts w:ascii="Arial" w:hAnsi="Arial" w:cs="Arial"/>
          <w:color w:val="000000"/>
        </w:rPr>
        <w:t>“C4 - House in multiple occupation"</w:t>
      </w:r>
    </w:p>
    <w:p w14:paraId="0955CCCA" w14:textId="77777777" w:rsidR="005B1B51" w:rsidRDefault="005B1B51" w:rsidP="00CB2F8F">
      <w:pPr>
        <w:pStyle w:val="NormalWeb"/>
        <w:jc w:val="both"/>
        <w:divId w:val="912861128"/>
        <w:rPr>
          <w:rFonts w:ascii="Arial" w:hAnsi="Arial" w:cs="Arial"/>
          <w:color w:val="000000"/>
        </w:rPr>
      </w:pPr>
      <w:r>
        <w:rPr>
          <w:rFonts w:ascii="Arial" w:hAnsi="Arial" w:cs="Arial"/>
          <w:color w:val="000000"/>
        </w:rPr>
        <w:t>In response to the question as to why the Lawful Development Certificate should be granted, the applicant has not provided a response. However, the submitted planning statement states the following as a summary of the application: </w:t>
      </w:r>
    </w:p>
    <w:p w14:paraId="3B9E09FF" w14:textId="77777777" w:rsidR="005B1B51" w:rsidRDefault="005B1B51" w:rsidP="00CB2F8F">
      <w:pPr>
        <w:pStyle w:val="NormalWeb"/>
        <w:jc w:val="both"/>
        <w:divId w:val="912861128"/>
        <w:rPr>
          <w:rFonts w:ascii="Arial" w:hAnsi="Arial" w:cs="Arial"/>
          <w:color w:val="000000"/>
        </w:rPr>
      </w:pPr>
      <w:r>
        <w:rPr>
          <w:rFonts w:ascii="Arial" w:hAnsi="Arial" w:cs="Arial"/>
          <w:color w:val="000000"/>
        </w:rPr>
        <w:t>“</w:t>
      </w:r>
      <w:r>
        <w:rPr>
          <w:rStyle w:val="Emphasis"/>
          <w:rFonts w:ascii="Arial" w:hAnsi="Arial" w:cs="Arial"/>
          <w:color w:val="000000"/>
        </w:rPr>
        <w:t>Based on the evidence submitted, the Property can be shown to have been in continuous use as C4 HMO prior to the Article 4 direction coming into force, and for a period exceeding ten years.</w:t>
      </w:r>
      <w:r>
        <w:rPr>
          <w:rFonts w:ascii="Arial" w:hAnsi="Arial" w:cs="Arial"/>
          <w:color w:val="000000"/>
        </w:rPr>
        <w:t>”</w:t>
      </w:r>
    </w:p>
    <w:p w14:paraId="12A321DE" w14:textId="748A858E" w:rsidR="00CA7D39" w:rsidRDefault="00CA7D39" w:rsidP="00CA7D39">
      <w:pPr>
        <w:pStyle w:val="NormalWeb"/>
        <w:jc w:val="both"/>
        <w:divId w:val="912861128"/>
        <w:rPr>
          <w:rFonts w:ascii="Arial" w:hAnsi="Arial" w:cs="Arial"/>
          <w:color w:val="000000"/>
        </w:rPr>
      </w:pPr>
      <w:r>
        <w:rPr>
          <w:rFonts w:ascii="Arial" w:hAnsi="Arial" w:cs="Arial"/>
          <w:color w:val="000000"/>
        </w:rPr>
        <w:t xml:space="preserve">The Article 4 Direction came into effect on the 08 October 2011, the application form states that the property became an House in Multiple Occupation (Use Class C4) (HMO) just prior to this date on the 28 September 2011. </w:t>
      </w:r>
    </w:p>
    <w:p w14:paraId="38F24059" w14:textId="55E6A269" w:rsidR="005B1B51" w:rsidRDefault="005B1B51" w:rsidP="00CB2F8F">
      <w:pPr>
        <w:pStyle w:val="NormalWeb"/>
        <w:jc w:val="both"/>
        <w:divId w:val="912861128"/>
        <w:rPr>
          <w:rFonts w:ascii="Arial" w:hAnsi="Arial" w:cs="Arial"/>
          <w:color w:val="000000"/>
        </w:rPr>
      </w:pPr>
      <w:r>
        <w:rPr>
          <w:rFonts w:ascii="Arial" w:hAnsi="Arial" w:cs="Arial"/>
          <w:color w:val="000000"/>
        </w:rPr>
        <w:t xml:space="preserve">In a case of this type, the onus is on the applicant to substantiate his or her case, on the balance of probability. The applicant needs to demonstrate that the use of property as a small </w:t>
      </w:r>
      <w:r w:rsidR="00CA7D39">
        <w:rPr>
          <w:rFonts w:ascii="Arial" w:hAnsi="Arial" w:cs="Arial"/>
          <w:color w:val="000000"/>
        </w:rPr>
        <w:t>HMO</w:t>
      </w:r>
      <w:r>
        <w:rPr>
          <w:rFonts w:ascii="Arial" w:hAnsi="Arial" w:cs="Arial"/>
          <w:color w:val="000000"/>
        </w:rPr>
        <w:t xml:space="preserve"> commenced more than ten years prior to the date of the application (i.e. by 1 May 2016) and continued without a significant break for ten years. </w:t>
      </w:r>
    </w:p>
    <w:p w14:paraId="409B5F76" w14:textId="77777777" w:rsidR="005B1B51" w:rsidRDefault="005B1B51" w:rsidP="00CB2F8F">
      <w:pPr>
        <w:pStyle w:val="NormalWeb"/>
        <w:jc w:val="both"/>
        <w:divId w:val="912861128"/>
        <w:rPr>
          <w:rFonts w:ascii="Arial" w:hAnsi="Arial" w:cs="Arial"/>
          <w:color w:val="000000"/>
        </w:rPr>
      </w:pPr>
      <w:r>
        <w:rPr>
          <w:rFonts w:ascii="Arial" w:hAnsi="Arial" w:cs="Arial"/>
          <w:color w:val="000000"/>
        </w:rPr>
        <w:t>Class C4 is defined in the Town and Country Planning (Use Classes) Order 1987, as amended, as “Use of a dwellinghouse by not more than six residents as a “house in multiple occupation”.” This latter term is as defined in S.254 of the Housing Act 2004. </w:t>
      </w:r>
    </w:p>
    <w:p w14:paraId="23AA167F" w14:textId="77777777" w:rsidR="005B1B51" w:rsidRDefault="005B1B51" w:rsidP="00CB2F8F">
      <w:pPr>
        <w:pStyle w:val="NormalWeb"/>
        <w:jc w:val="both"/>
        <w:divId w:val="912861128"/>
        <w:rPr>
          <w:rFonts w:ascii="Arial" w:hAnsi="Arial" w:cs="Arial"/>
          <w:color w:val="000000"/>
        </w:rPr>
      </w:pPr>
      <w:r>
        <w:rPr>
          <w:rFonts w:ascii="Arial" w:hAnsi="Arial" w:cs="Arial"/>
          <w:color w:val="000000"/>
        </w:rPr>
        <w:t>The Planning Practice Guidance points to the need for evidence to be sufficiently precise and unambiguous to justify the grant of a certificate on the balance of probability. </w:t>
      </w:r>
    </w:p>
    <w:p w14:paraId="4F2DDDCD" w14:textId="77777777" w:rsidR="005B1B51" w:rsidRDefault="005B1B51" w:rsidP="00CB2F8F">
      <w:pPr>
        <w:pStyle w:val="NormalWeb"/>
        <w:jc w:val="both"/>
        <w:divId w:val="912861128"/>
        <w:rPr>
          <w:rFonts w:ascii="Arial" w:hAnsi="Arial" w:cs="Arial"/>
          <w:color w:val="000000"/>
        </w:rPr>
      </w:pPr>
      <w:r>
        <w:rPr>
          <w:rFonts w:ascii="Arial" w:hAnsi="Arial" w:cs="Arial"/>
          <w:color w:val="000000"/>
        </w:rPr>
        <w:t>The relevant test, established by the court in Thrasyvoulou v SSE [1984], is the balance of probabilities – whether something is more likely than not. </w:t>
      </w:r>
    </w:p>
    <w:p w14:paraId="2DA2EF3E" w14:textId="77777777" w:rsidR="005B1B51" w:rsidRDefault="005B1B51" w:rsidP="00CB2F8F">
      <w:pPr>
        <w:pStyle w:val="NormalWeb"/>
        <w:jc w:val="both"/>
        <w:divId w:val="912861128"/>
        <w:rPr>
          <w:rFonts w:ascii="Arial" w:hAnsi="Arial" w:cs="Arial"/>
          <w:color w:val="000000"/>
        </w:rPr>
      </w:pPr>
      <w:r>
        <w:rPr>
          <w:rStyle w:val="Strong"/>
          <w:rFonts w:ascii="Arial" w:hAnsi="Arial" w:cs="Arial"/>
          <w:color w:val="000000"/>
        </w:rPr>
        <w:t>Assessment </w:t>
      </w:r>
    </w:p>
    <w:p w14:paraId="5EC0FB55" w14:textId="77777777" w:rsidR="005B1B51" w:rsidRDefault="005B1B51" w:rsidP="00CB2F8F">
      <w:pPr>
        <w:pStyle w:val="NormalWeb"/>
        <w:jc w:val="both"/>
        <w:divId w:val="912861128"/>
        <w:rPr>
          <w:rFonts w:ascii="Arial" w:hAnsi="Arial" w:cs="Arial"/>
          <w:color w:val="000000"/>
        </w:rPr>
      </w:pPr>
      <w:r>
        <w:rPr>
          <w:rStyle w:val="Emphasis"/>
          <w:rFonts w:ascii="Arial" w:hAnsi="Arial" w:cs="Arial"/>
          <w:color w:val="000000"/>
        </w:rPr>
        <w:t>Applicants Evidence </w:t>
      </w:r>
    </w:p>
    <w:p w14:paraId="2C76D59B" w14:textId="35C18A98" w:rsidR="005B1B51" w:rsidRDefault="005B1B51" w:rsidP="00CB2F8F">
      <w:pPr>
        <w:pStyle w:val="NormalWeb"/>
        <w:jc w:val="both"/>
        <w:divId w:val="912861128"/>
        <w:rPr>
          <w:rFonts w:ascii="Arial" w:hAnsi="Arial" w:cs="Arial"/>
          <w:color w:val="000000"/>
        </w:rPr>
      </w:pPr>
      <w:r>
        <w:rPr>
          <w:rFonts w:ascii="Arial" w:hAnsi="Arial" w:cs="Arial"/>
          <w:color w:val="000000"/>
        </w:rPr>
        <w:t>This application is supported by the following documents: </w:t>
      </w:r>
    </w:p>
    <w:p w14:paraId="65ED5A19" w14:textId="60BAAEB0" w:rsidR="005B1B51" w:rsidRDefault="000D5085" w:rsidP="00CB2F8F">
      <w:pPr>
        <w:pStyle w:val="NormalWeb"/>
        <w:numPr>
          <w:ilvl w:val="0"/>
          <w:numId w:val="6"/>
        </w:numPr>
        <w:jc w:val="both"/>
        <w:divId w:val="912861128"/>
        <w:rPr>
          <w:rFonts w:ascii="Arial" w:hAnsi="Arial" w:cs="Arial"/>
          <w:color w:val="000000"/>
        </w:rPr>
      </w:pPr>
      <w:r>
        <w:rPr>
          <w:rFonts w:ascii="Arial" w:hAnsi="Arial" w:cs="Arial"/>
          <w:color w:val="000000"/>
        </w:rPr>
        <w:t xml:space="preserve">Application Form </w:t>
      </w:r>
    </w:p>
    <w:p w14:paraId="6413BE01" w14:textId="6DA95178" w:rsidR="000D5085" w:rsidRDefault="000D5085" w:rsidP="00CB2F8F">
      <w:pPr>
        <w:pStyle w:val="NormalWeb"/>
        <w:numPr>
          <w:ilvl w:val="0"/>
          <w:numId w:val="6"/>
        </w:numPr>
        <w:jc w:val="both"/>
        <w:divId w:val="912861128"/>
        <w:rPr>
          <w:rFonts w:ascii="Arial" w:hAnsi="Arial" w:cs="Arial"/>
          <w:color w:val="000000"/>
        </w:rPr>
      </w:pPr>
      <w:r>
        <w:rPr>
          <w:rFonts w:ascii="Arial" w:hAnsi="Arial" w:cs="Arial"/>
          <w:color w:val="000000"/>
        </w:rPr>
        <w:t xml:space="preserve">Site location plan and existing floor plans </w:t>
      </w:r>
    </w:p>
    <w:p w14:paraId="18A88911" w14:textId="3D44248C" w:rsidR="000D5085" w:rsidRDefault="000D5085" w:rsidP="00CB2F8F">
      <w:pPr>
        <w:pStyle w:val="NormalWeb"/>
        <w:numPr>
          <w:ilvl w:val="0"/>
          <w:numId w:val="6"/>
        </w:numPr>
        <w:jc w:val="both"/>
        <w:divId w:val="912861128"/>
        <w:rPr>
          <w:rFonts w:ascii="Arial" w:hAnsi="Arial" w:cs="Arial"/>
          <w:color w:val="000000"/>
        </w:rPr>
      </w:pPr>
      <w:r>
        <w:rPr>
          <w:rFonts w:ascii="Arial" w:hAnsi="Arial" w:cs="Arial"/>
          <w:color w:val="000000"/>
        </w:rPr>
        <w:t>Tenancy Agreements 2011 to 2026</w:t>
      </w:r>
    </w:p>
    <w:p w14:paraId="3F49005B" w14:textId="7656D043" w:rsidR="000D5085" w:rsidRDefault="000D5085" w:rsidP="00CB2F8F">
      <w:pPr>
        <w:pStyle w:val="NormalWeb"/>
        <w:numPr>
          <w:ilvl w:val="0"/>
          <w:numId w:val="6"/>
        </w:numPr>
        <w:jc w:val="both"/>
        <w:divId w:val="912861128"/>
        <w:rPr>
          <w:rFonts w:ascii="Arial" w:hAnsi="Arial" w:cs="Arial"/>
          <w:color w:val="000000"/>
        </w:rPr>
      </w:pPr>
      <w:r>
        <w:rPr>
          <w:rFonts w:ascii="Arial" w:hAnsi="Arial" w:cs="Arial"/>
          <w:color w:val="000000"/>
        </w:rPr>
        <w:t>Planning Statement</w:t>
      </w:r>
    </w:p>
    <w:p w14:paraId="0E9EC4DE" w14:textId="67CA6793" w:rsidR="000D5085" w:rsidRDefault="000D5085" w:rsidP="00CB2F8F">
      <w:pPr>
        <w:pStyle w:val="NormalWeb"/>
        <w:numPr>
          <w:ilvl w:val="0"/>
          <w:numId w:val="6"/>
        </w:numPr>
        <w:jc w:val="both"/>
        <w:divId w:val="912861128"/>
        <w:rPr>
          <w:rFonts w:ascii="Arial" w:hAnsi="Arial" w:cs="Arial"/>
          <w:color w:val="000000"/>
        </w:rPr>
      </w:pPr>
      <w:r>
        <w:rPr>
          <w:rFonts w:ascii="Arial" w:hAnsi="Arial" w:cs="Arial"/>
          <w:color w:val="000000"/>
        </w:rPr>
        <w:t>HMO Licences</w:t>
      </w:r>
    </w:p>
    <w:p w14:paraId="6EBAF788" w14:textId="1CC95C69" w:rsidR="000D5085" w:rsidRDefault="000D5085" w:rsidP="00CB2F8F">
      <w:pPr>
        <w:pStyle w:val="NormalWeb"/>
        <w:numPr>
          <w:ilvl w:val="0"/>
          <w:numId w:val="6"/>
        </w:numPr>
        <w:jc w:val="both"/>
        <w:divId w:val="912861128"/>
        <w:rPr>
          <w:rFonts w:ascii="Arial" w:hAnsi="Arial" w:cs="Arial"/>
          <w:color w:val="000000"/>
        </w:rPr>
      </w:pPr>
      <w:r>
        <w:rPr>
          <w:rFonts w:ascii="Arial" w:hAnsi="Arial" w:cs="Arial"/>
          <w:color w:val="000000"/>
        </w:rPr>
        <w:t>Statement of Truth</w:t>
      </w:r>
    </w:p>
    <w:p w14:paraId="5DA65329" w14:textId="6B1808BF" w:rsidR="005B1B51" w:rsidRDefault="000D5085" w:rsidP="00CB2F8F">
      <w:pPr>
        <w:pStyle w:val="NormalWeb"/>
        <w:jc w:val="both"/>
        <w:divId w:val="912861128"/>
        <w:rPr>
          <w:rFonts w:ascii="Arial" w:hAnsi="Arial" w:cs="Arial"/>
          <w:color w:val="000000"/>
        </w:rPr>
      </w:pPr>
      <w:r>
        <w:rPr>
          <w:rFonts w:ascii="Arial" w:hAnsi="Arial" w:cs="Arial"/>
          <w:color w:val="000000"/>
        </w:rPr>
        <w:t xml:space="preserve">The submitted floor plan shows a kitchen, lounge/dining room, bathroom and a bedroom on the ground floor, two bedrooms on the first floor and a further two bedrooms and a bathroom on the second floor. In total five bedrooms are shown on the plan. </w:t>
      </w:r>
    </w:p>
    <w:p w14:paraId="731AAD85" w14:textId="5A3F2D58" w:rsidR="00E16E4B" w:rsidRPr="00E16E4B" w:rsidRDefault="00E16E4B" w:rsidP="00CB2F8F">
      <w:pPr>
        <w:pStyle w:val="NormalWeb"/>
        <w:jc w:val="both"/>
        <w:divId w:val="912861128"/>
        <w:rPr>
          <w:rFonts w:ascii="Arial" w:hAnsi="Arial" w:cs="Arial"/>
          <w:color w:val="000000"/>
        </w:rPr>
      </w:pPr>
      <w:r w:rsidRPr="00E16E4B">
        <w:rPr>
          <w:rFonts w:ascii="Arial" w:hAnsi="Arial" w:cs="Arial"/>
          <w:color w:val="000000"/>
        </w:rPr>
        <w:t xml:space="preserve">The documentation provided show that there has been consistently </w:t>
      </w:r>
      <w:r w:rsidR="00745B6A">
        <w:rPr>
          <w:rFonts w:ascii="Arial" w:hAnsi="Arial" w:cs="Arial"/>
          <w:color w:val="000000"/>
        </w:rPr>
        <w:t>4</w:t>
      </w:r>
      <w:r w:rsidRPr="00E16E4B">
        <w:rPr>
          <w:rFonts w:ascii="Arial" w:hAnsi="Arial" w:cs="Arial"/>
          <w:color w:val="000000"/>
        </w:rPr>
        <w:t xml:space="preserve"> to 5 persons at the property from September 201</w:t>
      </w:r>
      <w:r w:rsidR="00745B6A">
        <w:rPr>
          <w:rFonts w:ascii="Arial" w:hAnsi="Arial" w:cs="Arial"/>
          <w:color w:val="000000"/>
        </w:rPr>
        <w:t xml:space="preserve">1 </w:t>
      </w:r>
      <w:r w:rsidRPr="00E16E4B">
        <w:rPr>
          <w:rFonts w:ascii="Arial" w:hAnsi="Arial" w:cs="Arial"/>
          <w:color w:val="000000"/>
        </w:rPr>
        <w:t>to the current tenancy agreement which ends in August 202</w:t>
      </w:r>
      <w:r w:rsidR="00745B6A">
        <w:rPr>
          <w:rFonts w:ascii="Arial" w:hAnsi="Arial" w:cs="Arial"/>
          <w:color w:val="000000"/>
        </w:rPr>
        <w:t>6</w:t>
      </w:r>
      <w:r w:rsidRPr="00E16E4B">
        <w:rPr>
          <w:rFonts w:ascii="Arial" w:hAnsi="Arial" w:cs="Arial"/>
          <w:color w:val="000000"/>
        </w:rPr>
        <w:t xml:space="preserve">. </w:t>
      </w:r>
    </w:p>
    <w:p w14:paraId="7EC2834D" w14:textId="712EFB72" w:rsidR="00E16E4B" w:rsidRPr="00E16E4B" w:rsidRDefault="00E16E4B" w:rsidP="00CB2F8F">
      <w:pPr>
        <w:pStyle w:val="NormalWeb"/>
        <w:jc w:val="both"/>
        <w:divId w:val="912861128"/>
        <w:rPr>
          <w:rFonts w:ascii="Arial" w:hAnsi="Arial" w:cs="Arial"/>
          <w:color w:val="000000"/>
        </w:rPr>
      </w:pPr>
      <w:r w:rsidRPr="00E16E4B">
        <w:rPr>
          <w:rFonts w:ascii="Arial" w:hAnsi="Arial" w:cs="Arial"/>
          <w:color w:val="000000"/>
        </w:rPr>
        <w:t xml:space="preserve">The only exception in terms of occupancy is in the year 2015 to 2016, where the submitted tenancy agreements show that a single tenant rented the property from the 21 September 2015 until the </w:t>
      </w:r>
      <w:r w:rsidR="00745B6A" w:rsidRPr="00E16E4B">
        <w:rPr>
          <w:rFonts w:ascii="Arial" w:hAnsi="Arial" w:cs="Arial"/>
          <w:color w:val="000000"/>
        </w:rPr>
        <w:t xml:space="preserve">2 </w:t>
      </w:r>
      <w:r w:rsidRPr="00E16E4B">
        <w:rPr>
          <w:rFonts w:ascii="Arial" w:hAnsi="Arial" w:cs="Arial"/>
          <w:color w:val="000000"/>
        </w:rPr>
        <w:t xml:space="preserve">September 2016 and paid a rent of £386.00 per calendar month </w:t>
      </w:r>
    </w:p>
    <w:p w14:paraId="7E1CAD6F" w14:textId="0B842C82" w:rsidR="00F97EBE" w:rsidRDefault="00E16E4B" w:rsidP="00CB2F8F">
      <w:pPr>
        <w:jc w:val="both"/>
        <w:divId w:val="912861128"/>
        <w:rPr>
          <w:rFonts w:cs="Arial"/>
          <w:color w:val="000000"/>
        </w:rPr>
      </w:pPr>
      <w:r w:rsidRPr="00E16E4B">
        <w:rPr>
          <w:rFonts w:cs="Arial"/>
          <w:color w:val="000000"/>
        </w:rPr>
        <w:lastRenderedPageBreak/>
        <w:t xml:space="preserve">Whilst </w:t>
      </w:r>
      <w:r w:rsidR="005C4E46">
        <w:rPr>
          <w:rFonts w:cs="Arial"/>
          <w:color w:val="000000"/>
        </w:rPr>
        <w:t>one</w:t>
      </w:r>
      <w:r w:rsidRPr="00E16E4B">
        <w:rPr>
          <w:rFonts w:cs="Arial"/>
          <w:color w:val="000000"/>
        </w:rPr>
        <w:t xml:space="preserve"> person named on the tenancy agreement or council tax records does not preclude the possibility that others also occupied the property at that time, there was a gap of at least </w:t>
      </w:r>
      <w:r w:rsidR="005C4E46">
        <w:rPr>
          <w:rFonts w:cs="Arial"/>
          <w:color w:val="000000"/>
        </w:rPr>
        <w:t>six</w:t>
      </w:r>
      <w:r w:rsidRPr="00E16E4B">
        <w:rPr>
          <w:rFonts w:cs="Arial"/>
          <w:color w:val="000000"/>
        </w:rPr>
        <w:t xml:space="preserve"> months until the next two tenants moved in. Both were </w:t>
      </w:r>
      <w:r w:rsidR="005C4E46">
        <w:rPr>
          <w:rFonts w:cs="Arial"/>
          <w:color w:val="000000"/>
        </w:rPr>
        <w:t>three</w:t>
      </w:r>
      <w:r w:rsidRPr="00E16E4B">
        <w:rPr>
          <w:rFonts w:cs="Arial"/>
          <w:color w:val="000000"/>
        </w:rPr>
        <w:t xml:space="preserve"> months individual tenancy agreements</w:t>
      </w:r>
      <w:r w:rsidR="004720E9">
        <w:rPr>
          <w:rFonts w:cs="Arial"/>
          <w:color w:val="000000"/>
        </w:rPr>
        <w:t xml:space="preserve"> one</w:t>
      </w:r>
      <w:r w:rsidRPr="00E16E4B">
        <w:rPr>
          <w:rFonts w:cs="Arial"/>
          <w:color w:val="000000"/>
        </w:rPr>
        <w:t xml:space="preserve"> starting on 3 March until 2 June 2016 </w:t>
      </w:r>
      <w:r w:rsidR="004720E9">
        <w:rPr>
          <w:rFonts w:cs="Arial"/>
          <w:color w:val="000000"/>
        </w:rPr>
        <w:t>and one starting on 18</w:t>
      </w:r>
      <w:r w:rsidR="004720E9">
        <w:rPr>
          <w:rFonts w:cs="Arial"/>
          <w:color w:val="000000"/>
          <w:vertAlign w:val="superscript"/>
        </w:rPr>
        <w:t xml:space="preserve"> </w:t>
      </w:r>
      <w:r w:rsidR="004720E9">
        <w:rPr>
          <w:rFonts w:cs="Arial"/>
          <w:color w:val="000000"/>
        </w:rPr>
        <w:t>March to 17 June 2016</w:t>
      </w:r>
      <w:r w:rsidR="009640BF">
        <w:rPr>
          <w:rFonts w:cs="Arial"/>
          <w:color w:val="000000"/>
        </w:rPr>
        <w:t>,</w:t>
      </w:r>
      <w:r w:rsidRPr="00E16E4B">
        <w:rPr>
          <w:rFonts w:cs="Arial"/>
          <w:color w:val="000000"/>
        </w:rPr>
        <w:t xml:space="preserve"> where each tenant agreed to pay £343.00 per calendar month. As each tenant paid a similar amount in terms of rent it does raise some doubt about the use of the property as C4 house in multiple occupation.</w:t>
      </w:r>
      <w:r w:rsidR="00F97EBE">
        <w:rPr>
          <w:rFonts w:cs="Arial"/>
          <w:color w:val="000000"/>
        </w:rPr>
        <w:t xml:space="preserve"> As noted during the assessment of application reference </w:t>
      </w:r>
      <w:r w:rsidR="00F97EBE" w:rsidRPr="00B460AF">
        <w:t>137034/LE/2023</w:t>
      </w:r>
      <w:r w:rsidR="00F97EBE">
        <w:t xml:space="preserve"> whereby the applicant sought a lawful development certificate for a small house in multiple occupation (Use Class C4), r</w:t>
      </w:r>
      <w:r w:rsidR="00F97EBE" w:rsidRPr="00E16E4B">
        <w:rPr>
          <w:rFonts w:cs="Arial"/>
          <w:color w:val="000000"/>
        </w:rPr>
        <w:t xml:space="preserve">ecords available to the Council </w:t>
      </w:r>
      <w:r w:rsidR="00F97EBE">
        <w:rPr>
          <w:rFonts w:cs="Arial"/>
          <w:color w:val="000000"/>
        </w:rPr>
        <w:t xml:space="preserve">at that time </w:t>
      </w:r>
      <w:r w:rsidR="00F97EBE" w:rsidRPr="00E16E4B">
        <w:rPr>
          <w:rFonts w:cs="Arial"/>
          <w:color w:val="000000"/>
        </w:rPr>
        <w:t>show</w:t>
      </w:r>
      <w:r w:rsidR="00F97EBE">
        <w:rPr>
          <w:rFonts w:cs="Arial"/>
          <w:color w:val="000000"/>
        </w:rPr>
        <w:t>ed</w:t>
      </w:r>
      <w:r w:rsidR="00F97EBE" w:rsidRPr="00E16E4B">
        <w:rPr>
          <w:rFonts w:cs="Arial"/>
          <w:color w:val="000000"/>
        </w:rPr>
        <w:t xml:space="preserve"> that the same tenant paid for Council Tax for that year also.</w:t>
      </w:r>
      <w:r w:rsidR="00F97EBE">
        <w:rPr>
          <w:rFonts w:cs="Arial"/>
          <w:color w:val="000000"/>
        </w:rPr>
        <w:t xml:space="preserve"> </w:t>
      </w:r>
    </w:p>
    <w:p w14:paraId="6622596B" w14:textId="2D47CFB9" w:rsidR="005C4E46" w:rsidRDefault="005C4E46" w:rsidP="00CB2F8F">
      <w:pPr>
        <w:pStyle w:val="NormalWeb"/>
        <w:jc w:val="both"/>
        <w:divId w:val="912861128"/>
        <w:rPr>
          <w:rFonts w:ascii="Arial" w:hAnsi="Arial" w:cs="Arial"/>
          <w:color w:val="000000"/>
        </w:rPr>
      </w:pPr>
      <w:r w:rsidRPr="005C4E46">
        <w:rPr>
          <w:rFonts w:ascii="Arial" w:hAnsi="Arial" w:cs="Arial"/>
          <w:color w:val="000000"/>
        </w:rPr>
        <w:t xml:space="preserve">If, as appears to be the case, the first person lived at the property alone for six months after moving in, followed by two other tenants who resided there for three months, before the first person continued to live at the property alone for a further three months until the end of their tenancy on 2 September 2016, </w:t>
      </w:r>
      <w:r w:rsidRPr="00E16E4B">
        <w:rPr>
          <w:rFonts w:ascii="Arial" w:hAnsi="Arial" w:cs="Arial"/>
          <w:color w:val="000000"/>
        </w:rPr>
        <w:t>then the use would have reverted back to a C3 dwellinghouse</w:t>
      </w:r>
      <w:r>
        <w:rPr>
          <w:rFonts w:ascii="Arial" w:hAnsi="Arial" w:cs="Arial"/>
          <w:color w:val="000000"/>
        </w:rPr>
        <w:t xml:space="preserve"> </w:t>
      </w:r>
      <w:r w:rsidRPr="00E16E4B">
        <w:rPr>
          <w:rFonts w:ascii="Arial" w:hAnsi="Arial" w:cs="Arial"/>
          <w:color w:val="000000"/>
        </w:rPr>
        <w:t>th</w:t>
      </w:r>
      <w:r>
        <w:rPr>
          <w:rFonts w:ascii="Arial" w:hAnsi="Arial" w:cs="Arial"/>
          <w:color w:val="000000"/>
        </w:rPr>
        <w:t>ereby</w:t>
      </w:r>
      <w:r w:rsidRPr="00E16E4B">
        <w:rPr>
          <w:rFonts w:ascii="Arial" w:hAnsi="Arial" w:cs="Arial"/>
          <w:color w:val="000000"/>
        </w:rPr>
        <w:t xml:space="preserve"> creating a break in the 10 years claimed.</w:t>
      </w:r>
    </w:p>
    <w:p w14:paraId="68836FBF" w14:textId="6FFC4BC9" w:rsidR="005C4E46" w:rsidRDefault="005C4E46" w:rsidP="00CB2F8F">
      <w:pPr>
        <w:pStyle w:val="NormalWeb"/>
        <w:jc w:val="both"/>
        <w:divId w:val="912861128"/>
        <w:rPr>
          <w:rFonts w:ascii="Arial" w:hAnsi="Arial" w:cs="Arial"/>
          <w:color w:val="000000"/>
        </w:rPr>
      </w:pPr>
      <w:r>
        <w:rPr>
          <w:rFonts w:ascii="Arial" w:hAnsi="Arial" w:cs="Arial"/>
          <w:color w:val="000000"/>
        </w:rPr>
        <w:t xml:space="preserve">To support the application the applicant has provided a statement of truth, the statement states that the company WAKmoor (Assests) Ltd purchased 14 Driffield Street, Manchester in July 2021 and that the property has operated as an HMO accommodating up to five occupants since at least 2011. The property has been arranged and marked as a multiple -occupancy dwelling during this period. </w:t>
      </w:r>
    </w:p>
    <w:p w14:paraId="5754E12E" w14:textId="32B0EBEA" w:rsidR="005C4E46" w:rsidRDefault="005C4E46" w:rsidP="00CB2F8F">
      <w:pPr>
        <w:pStyle w:val="NormalWeb"/>
        <w:jc w:val="both"/>
        <w:divId w:val="912861128"/>
        <w:rPr>
          <w:rFonts w:ascii="Arial" w:hAnsi="Arial" w:cs="Arial"/>
          <w:color w:val="000000"/>
        </w:rPr>
      </w:pPr>
      <w:r>
        <w:rPr>
          <w:rFonts w:ascii="Arial" w:hAnsi="Arial" w:cs="Arial"/>
          <w:color w:val="000000"/>
        </w:rPr>
        <w:t xml:space="preserve">The statement also states that the number of occupants varied throughout the period and that in the period 2015-16, this reflected fluctuations in tenant demand, rather than any intention to change the lawful planning use of the property from C4 to C3. </w:t>
      </w:r>
      <w:r w:rsidR="00345057">
        <w:rPr>
          <w:rFonts w:ascii="Arial" w:hAnsi="Arial" w:cs="Arial"/>
          <w:color w:val="000000"/>
        </w:rPr>
        <w:t xml:space="preserve">The C4 use according to the statement was not abandoned nor was there a change in character. </w:t>
      </w:r>
    </w:p>
    <w:p w14:paraId="7315E118" w14:textId="50B14462" w:rsidR="00F97EBE" w:rsidRDefault="004720E9" w:rsidP="00CB2F8F">
      <w:pPr>
        <w:pStyle w:val="NormalWeb"/>
        <w:jc w:val="both"/>
        <w:divId w:val="912861128"/>
        <w:rPr>
          <w:rFonts w:ascii="Arial" w:hAnsi="Arial" w:cs="Arial"/>
          <w:color w:val="000000"/>
        </w:rPr>
      </w:pPr>
      <w:r>
        <w:rPr>
          <w:rFonts w:ascii="Arial" w:hAnsi="Arial" w:cs="Arial"/>
          <w:color w:val="000000"/>
        </w:rPr>
        <w:t>The planning statement argues that during 2015-16 the tenant was a sole occupant only temporarily before two additional tenants joined for a short period, indicating that rooms were continuing to be advertised and that there were no physical changes made to the property</w:t>
      </w:r>
      <w:r w:rsidR="004D7A15">
        <w:rPr>
          <w:rFonts w:ascii="Arial" w:hAnsi="Arial" w:cs="Arial"/>
          <w:color w:val="000000"/>
        </w:rPr>
        <w:t>,</w:t>
      </w:r>
      <w:r>
        <w:rPr>
          <w:rFonts w:ascii="Arial" w:hAnsi="Arial" w:cs="Arial"/>
          <w:color w:val="000000"/>
        </w:rPr>
        <w:t xml:space="preserve"> for example a reduction in the number of bedrooms. Furthermore, in addressing the difference in the rent paid the statement states that the applicant chose to allow the tenants to pay rents for individual rooms rather than make up the shortfall of vacant rooms. </w:t>
      </w:r>
    </w:p>
    <w:p w14:paraId="27751B54" w14:textId="7FCB95BF" w:rsidR="00745B6A" w:rsidRDefault="00345057" w:rsidP="00CB2F8F">
      <w:pPr>
        <w:pStyle w:val="NormalWeb"/>
        <w:jc w:val="both"/>
        <w:divId w:val="912861128"/>
        <w:rPr>
          <w:rFonts w:ascii="Arial" w:hAnsi="Arial" w:cs="Arial"/>
          <w:color w:val="000000"/>
        </w:rPr>
      </w:pPr>
      <w:r>
        <w:rPr>
          <w:rFonts w:ascii="Arial" w:hAnsi="Arial" w:cs="Arial"/>
          <w:color w:val="000000"/>
        </w:rPr>
        <w:t>Whilst it is acknowledged that such properties may go through period</w:t>
      </w:r>
      <w:r w:rsidR="004D7A15">
        <w:rPr>
          <w:rFonts w:ascii="Arial" w:hAnsi="Arial" w:cs="Arial"/>
          <w:color w:val="000000"/>
        </w:rPr>
        <w:t>s</w:t>
      </w:r>
      <w:r>
        <w:rPr>
          <w:rFonts w:ascii="Arial" w:hAnsi="Arial" w:cs="Arial"/>
          <w:color w:val="000000"/>
        </w:rPr>
        <w:t xml:space="preserve"> of under</w:t>
      </w:r>
      <w:r w:rsidR="004D7A15">
        <w:rPr>
          <w:rFonts w:ascii="Arial" w:hAnsi="Arial" w:cs="Arial"/>
          <w:color w:val="000000"/>
        </w:rPr>
        <w:t>-</w:t>
      </w:r>
      <w:r>
        <w:rPr>
          <w:rFonts w:ascii="Arial" w:hAnsi="Arial" w:cs="Arial"/>
          <w:color w:val="000000"/>
        </w:rPr>
        <w:t xml:space="preserve">occupancy. The property was occupied by only one person for nine </w:t>
      </w:r>
      <w:r w:rsidR="007A6904">
        <w:rPr>
          <w:rFonts w:ascii="Arial" w:hAnsi="Arial" w:cs="Arial"/>
          <w:color w:val="000000"/>
        </w:rPr>
        <w:t xml:space="preserve">out </w:t>
      </w:r>
      <w:r>
        <w:rPr>
          <w:rFonts w:ascii="Arial" w:hAnsi="Arial" w:cs="Arial"/>
          <w:color w:val="000000"/>
        </w:rPr>
        <w:t>of the twelve months</w:t>
      </w:r>
      <w:r w:rsidR="007A6904">
        <w:rPr>
          <w:rFonts w:ascii="Arial" w:hAnsi="Arial" w:cs="Arial"/>
          <w:color w:val="000000"/>
        </w:rPr>
        <w:t xml:space="preserve"> between 2015 to 2016,</w:t>
      </w:r>
      <w:r>
        <w:rPr>
          <w:rFonts w:ascii="Arial" w:hAnsi="Arial" w:cs="Arial"/>
          <w:color w:val="000000"/>
        </w:rPr>
        <w:t xml:space="preserve"> this is a significant </w:t>
      </w:r>
      <w:r w:rsidR="00344313">
        <w:rPr>
          <w:rFonts w:ascii="Arial" w:hAnsi="Arial" w:cs="Arial"/>
          <w:color w:val="000000"/>
        </w:rPr>
        <w:t>length</w:t>
      </w:r>
      <w:r>
        <w:rPr>
          <w:rFonts w:ascii="Arial" w:hAnsi="Arial" w:cs="Arial"/>
          <w:color w:val="000000"/>
        </w:rPr>
        <w:t xml:space="preserve"> of time. No evidence has been provided to show that the rooms were marketed </w:t>
      </w:r>
      <w:r w:rsidR="007A6904">
        <w:rPr>
          <w:rFonts w:ascii="Arial" w:hAnsi="Arial" w:cs="Arial"/>
          <w:color w:val="000000"/>
        </w:rPr>
        <w:t xml:space="preserve">during this time, other than the statement of truth, which does raise doubt as the applicants knowledge of how the property was managed in this time as they purchased the property </w:t>
      </w:r>
      <w:r w:rsidR="00CB2F8F">
        <w:rPr>
          <w:rFonts w:ascii="Arial" w:hAnsi="Arial" w:cs="Arial"/>
          <w:color w:val="000000"/>
        </w:rPr>
        <w:t xml:space="preserve">nearly </w:t>
      </w:r>
      <w:r w:rsidR="007A6904">
        <w:rPr>
          <w:rFonts w:ascii="Arial" w:hAnsi="Arial" w:cs="Arial"/>
          <w:color w:val="000000"/>
        </w:rPr>
        <w:t>six years after the property was</w:t>
      </w:r>
      <w:r w:rsidR="00CB2F8F">
        <w:rPr>
          <w:rFonts w:ascii="Arial" w:hAnsi="Arial" w:cs="Arial"/>
          <w:color w:val="000000"/>
        </w:rPr>
        <w:t xml:space="preserve"> first</w:t>
      </w:r>
      <w:r w:rsidR="007A6904">
        <w:rPr>
          <w:rFonts w:ascii="Arial" w:hAnsi="Arial" w:cs="Arial"/>
          <w:color w:val="000000"/>
        </w:rPr>
        <w:t xml:space="preserve"> rented to one person. Furthermore, the landlord on the tenancy agreement was a “Beech Properties”, the statement does not clarify the relationship between the applicant and the landlord at the time. Nor has any statement or </w:t>
      </w:r>
      <w:r w:rsidR="00344313">
        <w:rPr>
          <w:rFonts w:ascii="Arial" w:hAnsi="Arial" w:cs="Arial"/>
          <w:color w:val="000000"/>
        </w:rPr>
        <w:t>declaration</w:t>
      </w:r>
      <w:r w:rsidR="007A6904">
        <w:rPr>
          <w:rFonts w:ascii="Arial" w:hAnsi="Arial" w:cs="Arial"/>
          <w:color w:val="000000"/>
        </w:rPr>
        <w:t xml:space="preserve"> been provided by Beech Properties to clarify how the property was managed during this time. </w:t>
      </w:r>
    </w:p>
    <w:p w14:paraId="6A899608" w14:textId="6FFFAD70" w:rsidR="00697D2D" w:rsidRDefault="00697D2D" w:rsidP="00CB2F8F">
      <w:pPr>
        <w:pStyle w:val="NormalWeb"/>
        <w:jc w:val="both"/>
        <w:divId w:val="912861128"/>
        <w:rPr>
          <w:rFonts w:ascii="Arial" w:hAnsi="Arial" w:cs="Arial"/>
          <w:color w:val="000000"/>
        </w:rPr>
      </w:pPr>
      <w:r>
        <w:rPr>
          <w:rFonts w:ascii="Arial" w:hAnsi="Arial" w:cs="Arial"/>
          <w:color w:val="000000"/>
        </w:rPr>
        <w:t>In terms of character the applicant raises that there is nothing to suggest that in 2016 there was anything noticeably different about the appearance, use and character of the property. With the prevailing character remaining that of a C4 use. However,</w:t>
      </w:r>
      <w:r w:rsidR="00344313">
        <w:rPr>
          <w:rFonts w:ascii="Arial" w:hAnsi="Arial" w:cs="Arial"/>
          <w:color w:val="000000"/>
        </w:rPr>
        <w:t xml:space="preserve"> with</w:t>
      </w:r>
      <w:r>
        <w:rPr>
          <w:rFonts w:ascii="Arial" w:hAnsi="Arial" w:cs="Arial"/>
          <w:color w:val="000000"/>
        </w:rPr>
        <w:t xml:space="preserve"> a reduction from five tenants to one tenant</w:t>
      </w:r>
      <w:r w:rsidR="00344313">
        <w:rPr>
          <w:rFonts w:ascii="Arial" w:hAnsi="Arial" w:cs="Arial"/>
          <w:color w:val="000000"/>
        </w:rPr>
        <w:t>,</w:t>
      </w:r>
      <w:r>
        <w:rPr>
          <w:rFonts w:ascii="Arial" w:hAnsi="Arial" w:cs="Arial"/>
          <w:color w:val="000000"/>
        </w:rPr>
        <w:t xml:space="preserve"> </w:t>
      </w:r>
      <w:r w:rsidR="00BE2691">
        <w:rPr>
          <w:rFonts w:ascii="Arial" w:hAnsi="Arial" w:cs="Arial"/>
          <w:color w:val="000000"/>
        </w:rPr>
        <w:t>it would be reasonable to expect</w:t>
      </w:r>
      <w:r>
        <w:rPr>
          <w:rFonts w:ascii="Arial" w:hAnsi="Arial" w:cs="Arial"/>
          <w:color w:val="000000"/>
        </w:rPr>
        <w:t xml:space="preserve"> noticeable change in how the property functi</w:t>
      </w:r>
      <w:r w:rsidR="00BE2691">
        <w:rPr>
          <w:rFonts w:ascii="Arial" w:hAnsi="Arial" w:cs="Arial"/>
          <w:color w:val="000000"/>
        </w:rPr>
        <w:t>o</w:t>
      </w:r>
      <w:r>
        <w:rPr>
          <w:rFonts w:ascii="Arial" w:hAnsi="Arial" w:cs="Arial"/>
          <w:color w:val="000000"/>
        </w:rPr>
        <w:t>n</w:t>
      </w:r>
      <w:r w:rsidR="00344313">
        <w:rPr>
          <w:rFonts w:ascii="Arial" w:hAnsi="Arial" w:cs="Arial"/>
          <w:color w:val="000000"/>
        </w:rPr>
        <w:t>ed</w:t>
      </w:r>
      <w:r>
        <w:rPr>
          <w:rFonts w:ascii="Arial" w:hAnsi="Arial" w:cs="Arial"/>
          <w:color w:val="000000"/>
        </w:rPr>
        <w:t xml:space="preserve"> and operated. For example, there would be a reduction in the comings and goings, visitors activity and the general levels of activity associated with multiple persons</w:t>
      </w:r>
      <w:r w:rsidR="00BE2691">
        <w:rPr>
          <w:rFonts w:ascii="Arial" w:hAnsi="Arial" w:cs="Arial"/>
          <w:color w:val="000000"/>
        </w:rPr>
        <w:t xml:space="preserve"> living at the address</w:t>
      </w:r>
      <w:r>
        <w:rPr>
          <w:rFonts w:ascii="Arial" w:hAnsi="Arial" w:cs="Arial"/>
          <w:color w:val="000000"/>
        </w:rPr>
        <w:t>. Furthermore, a person paying council tax would suggest that occupier was not a full-time student and thus likely to have different pattern of occupation than</w:t>
      </w:r>
      <w:r w:rsidR="00BE2691">
        <w:rPr>
          <w:rFonts w:ascii="Arial" w:hAnsi="Arial" w:cs="Arial"/>
          <w:color w:val="000000"/>
        </w:rPr>
        <w:t xml:space="preserve"> that typically found with shared student </w:t>
      </w:r>
      <w:r w:rsidR="00BE2691">
        <w:rPr>
          <w:rFonts w:ascii="Arial" w:hAnsi="Arial" w:cs="Arial"/>
          <w:color w:val="000000"/>
        </w:rPr>
        <w:lastRenderedPageBreak/>
        <w:t xml:space="preserve">accommodation. </w:t>
      </w:r>
      <w:r w:rsidR="00344313">
        <w:rPr>
          <w:rFonts w:ascii="Arial" w:hAnsi="Arial" w:cs="Arial"/>
          <w:color w:val="000000"/>
        </w:rPr>
        <w:t xml:space="preserve">In addition, no evidence has been provided by the applicant to support the view that the character of the use of the property with one tenant was the </w:t>
      </w:r>
      <w:proofErr w:type="gramStart"/>
      <w:r w:rsidR="00344313">
        <w:rPr>
          <w:rFonts w:ascii="Arial" w:hAnsi="Arial" w:cs="Arial"/>
          <w:color w:val="000000"/>
        </w:rPr>
        <w:t>same/similar to</w:t>
      </w:r>
      <w:proofErr w:type="gramEnd"/>
      <w:r w:rsidR="00344313">
        <w:rPr>
          <w:rFonts w:ascii="Arial" w:hAnsi="Arial" w:cs="Arial"/>
          <w:color w:val="000000"/>
        </w:rPr>
        <w:t xml:space="preserve"> the preceding and subsequent occupation by 4-5 tenants.</w:t>
      </w:r>
    </w:p>
    <w:p w14:paraId="3A9B7F92" w14:textId="67CCA02E" w:rsidR="00344313" w:rsidRDefault="004D7A15" w:rsidP="00CB2F8F">
      <w:pPr>
        <w:pStyle w:val="NormalWeb"/>
        <w:jc w:val="both"/>
        <w:divId w:val="912861128"/>
        <w:rPr>
          <w:rFonts w:ascii="Arial" w:hAnsi="Arial" w:cs="Arial"/>
          <w:color w:val="000000"/>
        </w:rPr>
      </w:pPr>
      <w:r>
        <w:rPr>
          <w:rFonts w:ascii="Arial" w:hAnsi="Arial" w:cs="Arial"/>
          <w:color w:val="000000"/>
        </w:rPr>
        <w:t>As set-out in the applicant’s supporting statement, i</w:t>
      </w:r>
      <w:r w:rsidR="005C501A" w:rsidRPr="005C501A">
        <w:rPr>
          <w:rFonts w:ascii="Arial" w:hAnsi="Arial" w:cs="Arial"/>
          <w:color w:val="000000"/>
        </w:rPr>
        <w:t xml:space="preserve">t is accepted that the </w:t>
      </w:r>
      <w:r>
        <w:rPr>
          <w:rFonts w:ascii="Arial" w:hAnsi="Arial" w:cs="Arial"/>
          <w:color w:val="000000"/>
        </w:rPr>
        <w:t>use of the property as an HMO initially commenced before the Article 4 Direction came into force</w:t>
      </w:r>
      <w:r w:rsidR="005C501A" w:rsidRPr="005C501A">
        <w:rPr>
          <w:rFonts w:ascii="Arial" w:hAnsi="Arial" w:cs="Arial"/>
          <w:color w:val="000000"/>
        </w:rPr>
        <w:t xml:space="preserve">. </w:t>
      </w:r>
      <w:r w:rsidR="005C501A" w:rsidRPr="004D7A15">
        <w:rPr>
          <w:rFonts w:ascii="Arial" w:hAnsi="Arial" w:cs="Arial"/>
          <w:i/>
          <w:iCs/>
          <w:color w:val="000000"/>
        </w:rPr>
        <w:t>Panton &amp; Farmer v SSETR &amp; Vale of White Horse DC [1999] JPL 461</w:t>
      </w:r>
      <w:r w:rsidR="005C501A" w:rsidRPr="005C501A">
        <w:rPr>
          <w:rFonts w:ascii="Arial" w:hAnsi="Arial" w:cs="Arial"/>
          <w:color w:val="000000"/>
        </w:rPr>
        <w:t xml:space="preserve"> established that once lawful use rights have been </w:t>
      </w:r>
      <w:proofErr w:type="gramStart"/>
      <w:r w:rsidR="005C501A" w:rsidRPr="005C501A">
        <w:rPr>
          <w:rFonts w:ascii="Arial" w:hAnsi="Arial" w:cs="Arial"/>
          <w:color w:val="000000"/>
        </w:rPr>
        <w:t>established</w:t>
      </w:r>
      <w:proofErr w:type="gramEnd"/>
      <w:r w:rsidR="005C501A" w:rsidRPr="005C501A">
        <w:rPr>
          <w:rFonts w:ascii="Arial" w:hAnsi="Arial" w:cs="Arial"/>
          <w:color w:val="000000"/>
        </w:rPr>
        <w:t xml:space="preserve"> they can only be lost in one of three ways. These are (</w:t>
      </w:r>
      <w:proofErr w:type="spellStart"/>
      <w:r w:rsidR="005C501A" w:rsidRPr="005C501A">
        <w:rPr>
          <w:rFonts w:ascii="Arial" w:hAnsi="Arial" w:cs="Arial"/>
          <w:color w:val="000000"/>
        </w:rPr>
        <w:t>i</w:t>
      </w:r>
      <w:proofErr w:type="spellEnd"/>
      <w:r w:rsidR="005C501A" w:rsidRPr="005C501A">
        <w:rPr>
          <w:rFonts w:ascii="Arial" w:hAnsi="Arial" w:cs="Arial"/>
          <w:color w:val="000000"/>
        </w:rPr>
        <w:t xml:space="preserve">) by evidence of abandonment; (ii) by the formation of a new planning unit; or (iii) </w:t>
      </w:r>
      <w:r w:rsidR="005C501A" w:rsidRPr="004D7A15">
        <w:rPr>
          <w:rFonts w:ascii="Arial" w:hAnsi="Arial" w:cs="Arial"/>
          <w:color w:val="000000"/>
          <w:u w:val="single"/>
        </w:rPr>
        <w:t>by being superseded by a further change of use</w:t>
      </w:r>
      <w:r w:rsidR="005C501A" w:rsidRPr="005C501A">
        <w:rPr>
          <w:rFonts w:ascii="Arial" w:hAnsi="Arial" w:cs="Arial"/>
          <w:color w:val="000000"/>
        </w:rPr>
        <w:t xml:space="preserve">. A use which was merely dormant or inactive could still be “existing”, so long as it had already become lawful and had not been extinguished in one of these ways. In </w:t>
      </w:r>
      <w:r w:rsidR="005C501A" w:rsidRPr="004D7A15">
        <w:rPr>
          <w:rFonts w:ascii="Arial" w:hAnsi="Arial" w:cs="Arial"/>
          <w:i/>
          <w:iCs/>
          <w:color w:val="000000"/>
        </w:rPr>
        <w:t>SSETR v Thurrock BC [2002] JPL 1278</w:t>
      </w:r>
      <w:r w:rsidR="005C501A" w:rsidRPr="005C501A">
        <w:rPr>
          <w:rFonts w:ascii="Arial" w:hAnsi="Arial" w:cs="Arial"/>
          <w:color w:val="000000"/>
        </w:rPr>
        <w:t xml:space="preserve">, the Court of Appeal subsequently clarified that judgment on the need for continuity between the date of </w:t>
      </w:r>
      <w:r>
        <w:rPr>
          <w:rFonts w:ascii="Arial" w:hAnsi="Arial" w:cs="Arial"/>
          <w:color w:val="000000"/>
        </w:rPr>
        <w:t>a</w:t>
      </w:r>
      <w:r w:rsidR="005C501A" w:rsidRPr="005C501A">
        <w:rPr>
          <w:rFonts w:ascii="Arial" w:hAnsi="Arial" w:cs="Arial"/>
          <w:color w:val="000000"/>
        </w:rPr>
        <w:t xml:space="preserve"> breach and it </w:t>
      </w:r>
      <w:proofErr w:type="gramStart"/>
      <w:r w:rsidR="005C501A" w:rsidRPr="005C501A">
        <w:rPr>
          <w:rFonts w:ascii="Arial" w:hAnsi="Arial" w:cs="Arial"/>
          <w:color w:val="000000"/>
        </w:rPr>
        <w:t>becoming</w:t>
      </w:r>
      <w:proofErr w:type="gramEnd"/>
      <w:r w:rsidR="005C501A" w:rsidRPr="005C501A">
        <w:rPr>
          <w:rFonts w:ascii="Arial" w:hAnsi="Arial" w:cs="Arial"/>
          <w:color w:val="000000"/>
        </w:rPr>
        <w:t xml:space="preserve"> immune from enforcement action and, thereby, lawful. An unauthorised use could become lawful only if it continued throughout - in that case - the </w:t>
      </w:r>
      <w:proofErr w:type="gramStart"/>
      <w:r w:rsidR="005C501A" w:rsidRPr="005C501A">
        <w:rPr>
          <w:rFonts w:ascii="Arial" w:hAnsi="Arial" w:cs="Arial"/>
          <w:color w:val="000000"/>
        </w:rPr>
        <w:t>ten year</w:t>
      </w:r>
      <w:proofErr w:type="gramEnd"/>
      <w:r w:rsidR="005C501A" w:rsidRPr="005C501A">
        <w:rPr>
          <w:rFonts w:ascii="Arial" w:hAnsi="Arial" w:cs="Arial"/>
          <w:color w:val="000000"/>
        </w:rPr>
        <w:t xml:space="preserve"> period, to the extent that the local planning authority could have taken enforcement action at any time. If the use ceased during that period, the time could not count towards immunity.</w:t>
      </w:r>
    </w:p>
    <w:p w14:paraId="21802505" w14:textId="4AFB1DFD" w:rsidR="004D7A15" w:rsidRDefault="004D7A15" w:rsidP="00CB2F8F">
      <w:pPr>
        <w:pStyle w:val="NormalWeb"/>
        <w:jc w:val="both"/>
        <w:divId w:val="912861128"/>
        <w:rPr>
          <w:rFonts w:ascii="Arial" w:hAnsi="Arial" w:cs="Arial"/>
          <w:color w:val="000000"/>
        </w:rPr>
      </w:pPr>
      <w:r>
        <w:rPr>
          <w:rFonts w:ascii="Arial" w:hAnsi="Arial" w:cs="Arial"/>
          <w:color w:val="000000"/>
        </w:rPr>
        <w:t xml:space="preserve">In this instance, the Council contends that the property was put to a materially different use </w:t>
      </w:r>
      <w:r w:rsidR="006A105B">
        <w:rPr>
          <w:rFonts w:ascii="Arial" w:hAnsi="Arial" w:cs="Arial"/>
          <w:color w:val="000000"/>
        </w:rPr>
        <w:t>within the 10 years prior to the date of this application to the extent that the subsequent change of use back to an HMO required planning permission.</w:t>
      </w:r>
      <w:r>
        <w:rPr>
          <w:rFonts w:ascii="Arial" w:hAnsi="Arial" w:cs="Arial"/>
          <w:color w:val="000000"/>
        </w:rPr>
        <w:t xml:space="preserve"> </w:t>
      </w:r>
      <w:r w:rsidR="006A105B" w:rsidRPr="006A105B">
        <w:rPr>
          <w:rFonts w:ascii="Arial" w:hAnsi="Arial" w:cs="Arial"/>
          <w:color w:val="000000"/>
        </w:rPr>
        <w:t>As per point (iii) above, the previously lawful use of the property as a</w:t>
      </w:r>
      <w:r w:rsidR="006A105B">
        <w:rPr>
          <w:rFonts w:ascii="Arial" w:hAnsi="Arial" w:cs="Arial"/>
          <w:color w:val="000000"/>
        </w:rPr>
        <w:t xml:space="preserve">n HMO </w:t>
      </w:r>
      <w:r w:rsidR="006A105B" w:rsidRPr="006A105B">
        <w:rPr>
          <w:rFonts w:ascii="Arial" w:hAnsi="Arial" w:cs="Arial"/>
          <w:color w:val="000000"/>
        </w:rPr>
        <w:t>was extinguished by the intervening use</w:t>
      </w:r>
      <w:r w:rsidR="006A105B">
        <w:rPr>
          <w:rFonts w:ascii="Arial" w:hAnsi="Arial" w:cs="Arial"/>
          <w:color w:val="000000"/>
        </w:rPr>
        <w:t xml:space="preserve"> as a C3 dwellinghouse.</w:t>
      </w:r>
    </w:p>
    <w:p w14:paraId="3FE15231" w14:textId="1E434AA0" w:rsidR="004D7A15" w:rsidRDefault="004D7A15" w:rsidP="00CB2F8F">
      <w:pPr>
        <w:pStyle w:val="NormalWeb"/>
        <w:jc w:val="both"/>
        <w:divId w:val="912861128"/>
        <w:rPr>
          <w:rFonts w:ascii="Arial" w:hAnsi="Arial" w:cs="Arial"/>
          <w:color w:val="000000"/>
        </w:rPr>
      </w:pPr>
      <w:r>
        <w:rPr>
          <w:rFonts w:ascii="Arial" w:hAnsi="Arial" w:cs="Arial"/>
          <w:color w:val="000000"/>
        </w:rPr>
        <w:t>Planning practice guidance advises that i</w:t>
      </w:r>
      <w:r w:rsidRPr="00CB2F8F">
        <w:rPr>
          <w:rFonts w:ascii="Arial" w:hAnsi="Arial" w:cs="Arial"/>
          <w:color w:val="000000"/>
        </w:rPr>
        <w:t>n the case of applications for existing use,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w:t>
      </w:r>
      <w:r>
        <w:rPr>
          <w:rFonts w:ascii="Arial" w:hAnsi="Arial" w:cs="Arial"/>
          <w:color w:val="000000"/>
        </w:rPr>
        <w:t xml:space="preserve"> </w:t>
      </w:r>
    </w:p>
    <w:p w14:paraId="76B3CEFD" w14:textId="1411A586" w:rsidR="00CB2F8F" w:rsidRDefault="00CB2F8F" w:rsidP="00CB2F8F">
      <w:pPr>
        <w:jc w:val="both"/>
        <w:divId w:val="912861128"/>
        <w:rPr>
          <w:rFonts w:cs="Arial"/>
        </w:rPr>
      </w:pPr>
      <w:r w:rsidRPr="00D126C9">
        <w:rPr>
          <w:rFonts w:cs="Arial"/>
        </w:rPr>
        <w:t xml:space="preserve">As such, it does not provide a basis for </w:t>
      </w:r>
      <w:r>
        <w:rPr>
          <w:rFonts w:cs="Arial"/>
        </w:rPr>
        <w:t>the Council</w:t>
      </w:r>
      <w:r w:rsidRPr="00D126C9">
        <w:rPr>
          <w:rFonts w:cs="Arial"/>
        </w:rPr>
        <w:t xml:space="preserve"> to conclude with sufficient confidence that the property has been in continuous use as a house in multiple occupation over the 10 years from </w:t>
      </w:r>
      <w:r w:rsidR="00344313">
        <w:rPr>
          <w:rFonts w:cs="Arial"/>
        </w:rPr>
        <w:t xml:space="preserve">1 </w:t>
      </w:r>
      <w:r>
        <w:rPr>
          <w:rFonts w:cs="Arial"/>
        </w:rPr>
        <w:t>May 2016. However, i</w:t>
      </w:r>
      <w:r w:rsidRPr="005F0862">
        <w:rPr>
          <w:rFonts w:cs="Arial"/>
        </w:rPr>
        <w:t>t does not preclude a further application to the Council should further and more compelling evidence be forthcoming</w:t>
      </w:r>
      <w:r>
        <w:rPr>
          <w:rFonts w:cs="Arial"/>
        </w:rPr>
        <w:t xml:space="preserve"> to explain this period. </w:t>
      </w:r>
    </w:p>
    <w:p w14:paraId="6AB7E396" w14:textId="77777777" w:rsidR="006A105B" w:rsidRDefault="006A105B" w:rsidP="00D66B55">
      <w:pPr>
        <w:pStyle w:val="Heading1"/>
      </w:pPr>
    </w:p>
    <w:p w14:paraId="50D1432E" w14:textId="1EBA4363" w:rsidR="00D66B55" w:rsidRDefault="00D66B55" w:rsidP="00D66B55">
      <w:pPr>
        <w:pStyle w:val="Heading1"/>
      </w:pPr>
      <w:r>
        <w:t>Conclusion</w:t>
      </w:r>
    </w:p>
    <w:p w14:paraId="070B1C26" w14:textId="77777777" w:rsidR="00D66B55" w:rsidRDefault="00D66B55" w:rsidP="00D66B55"/>
    <w:p w14:paraId="1285AA9E" w14:textId="1BD7F2F7" w:rsidR="00CB2F8F" w:rsidRPr="00D66B55" w:rsidRDefault="00CB2F8F" w:rsidP="00D66B55">
      <w:r>
        <w:t xml:space="preserve">The certificate should be refused based on the assessment above. </w:t>
      </w:r>
    </w:p>
    <w:p w14:paraId="50438883" w14:textId="77777777" w:rsidR="00EF3E10" w:rsidRDefault="00EF3E10" w:rsidP="00D3474F"/>
    <w:p w14:paraId="49D8F7F5" w14:textId="4D6A40AD" w:rsidR="00C62A32" w:rsidRDefault="005C02B9" w:rsidP="00B75EB9">
      <w:pPr>
        <w:spacing w:after="120"/>
      </w:pPr>
      <w:r w:rsidRPr="005C02B9">
        <w:rPr>
          <w:rStyle w:val="Heading2Char"/>
        </w:rPr>
        <w:t>Recommendation</w:t>
      </w:r>
      <w:r>
        <w:t xml:space="preserve">: </w:t>
      </w:r>
      <w:r w:rsidR="00CB2F8F">
        <w:t xml:space="preserve">Refuse </w:t>
      </w:r>
    </w:p>
    <w:p w14:paraId="6609FCDD"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14FFF523" w14:textId="77777777" w:rsidTr="00274422">
        <w:tc>
          <w:tcPr>
            <w:tcW w:w="9781" w:type="dxa"/>
            <w:tcBorders>
              <w:top w:val="nil"/>
              <w:left w:val="nil"/>
              <w:bottom w:val="nil"/>
              <w:right w:val="nil"/>
            </w:tcBorders>
            <w:tcMar>
              <w:left w:w="28" w:type="dxa"/>
              <w:right w:w="28" w:type="dxa"/>
            </w:tcMar>
          </w:tcPr>
          <w:p w14:paraId="28368553" w14:textId="77777777" w:rsidR="0070357C" w:rsidRDefault="0070357C" w:rsidP="006175C6">
            <w:pPr>
              <w:pStyle w:val="Heading2"/>
            </w:pPr>
            <w:r>
              <w:t>Reasons for refusal</w:t>
            </w:r>
          </w:p>
          <w:tbl>
            <w:tblPr>
              <w:tblStyle w:val="TableGrid"/>
              <w:tblW w:w="0" w:type="auto"/>
              <w:tblLook w:val="04A0" w:firstRow="1" w:lastRow="0" w:firstColumn="1" w:lastColumn="0" w:noHBand="0" w:noVBand="1"/>
            </w:tblPr>
            <w:tblGrid>
              <w:gridCol w:w="532"/>
              <w:gridCol w:w="9183"/>
            </w:tblGrid>
            <w:tr w:rsidR="00467C0E" w14:paraId="519BD378" w14:textId="77777777" w:rsidTr="00274422">
              <w:tc>
                <w:tcPr>
                  <w:tcW w:w="532" w:type="dxa"/>
                  <w:tcBorders>
                    <w:top w:val="nil"/>
                    <w:left w:val="nil"/>
                    <w:bottom w:val="nil"/>
                    <w:right w:val="nil"/>
                  </w:tcBorders>
                </w:tcPr>
                <w:p w14:paraId="4EA58F3A" w14:textId="65F2BD5F" w:rsidR="00467C0E" w:rsidRDefault="00CB2F8F" w:rsidP="00467C0E">
                  <w:r>
                    <w:t>1</w:t>
                  </w:r>
                </w:p>
              </w:tc>
              <w:tc>
                <w:tcPr>
                  <w:tcW w:w="9183" w:type="dxa"/>
                  <w:tcBorders>
                    <w:top w:val="nil"/>
                    <w:left w:val="nil"/>
                    <w:bottom w:val="nil"/>
                    <w:right w:val="nil"/>
                  </w:tcBorders>
                </w:tcPr>
                <w:p w14:paraId="40748840" w14:textId="2E3EE41A" w:rsidR="00467C0E" w:rsidRDefault="00CB2F8F" w:rsidP="00467C0E">
                  <w:r w:rsidRPr="003725BA">
                    <w:rPr>
                      <w:rFonts w:cs="Arial"/>
                    </w:rPr>
                    <w:t xml:space="preserve">The applicant has failed to demonstrate that number </w:t>
                  </w:r>
                  <w:r>
                    <w:rPr>
                      <w:rFonts w:cs="Arial"/>
                    </w:rPr>
                    <w:t xml:space="preserve">14 Driffield Street, Manchester, M14 HZ </w:t>
                  </w:r>
                  <w:r w:rsidRPr="003725BA">
                    <w:rPr>
                      <w:rFonts w:cs="Arial"/>
                    </w:rPr>
                    <w:t>has been occupied as a small scale house in multiple occupation Class C4 of the schedule to the Town and Country Planning (Use Classes) Order 1987 (as amended) for a continual 10 year period up to the date of the application.</w:t>
                  </w:r>
                </w:p>
              </w:tc>
            </w:tr>
          </w:tbl>
          <w:p w14:paraId="620C82BA" w14:textId="77777777" w:rsidR="00467C0E" w:rsidRPr="00467C0E" w:rsidRDefault="00467C0E" w:rsidP="00467C0E"/>
        </w:tc>
      </w:tr>
    </w:tbl>
    <w:p w14:paraId="3A6BF1D8"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A3483"/>
    <w:multiLevelType w:val="hybridMultilevel"/>
    <w:tmpl w:val="814A909A"/>
    <w:lvl w:ilvl="0" w:tplc="2B70C6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E47FE4"/>
    <w:multiLevelType w:val="hybridMultilevel"/>
    <w:tmpl w:val="2828C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1"/>
  </w:num>
  <w:num w:numId="3" w16cid:durableId="1743523982">
    <w:abstractNumId w:val="5"/>
  </w:num>
  <w:num w:numId="4" w16cid:durableId="479078163">
    <w:abstractNumId w:val="2"/>
  </w:num>
  <w:num w:numId="5" w16cid:durableId="257520763">
    <w:abstractNumId w:val="6"/>
  </w:num>
  <w:num w:numId="6" w16cid:durableId="1523088073">
    <w:abstractNumId w:val="4"/>
  </w:num>
  <w:num w:numId="7" w16cid:durableId="453135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72C2F"/>
    <w:rsid w:val="000D5085"/>
    <w:rsid w:val="001A0B7A"/>
    <w:rsid w:val="00264A72"/>
    <w:rsid w:val="00271DE1"/>
    <w:rsid w:val="00274422"/>
    <w:rsid w:val="002B02FF"/>
    <w:rsid w:val="002E3AF6"/>
    <w:rsid w:val="0032349F"/>
    <w:rsid w:val="00344313"/>
    <w:rsid w:val="00345057"/>
    <w:rsid w:val="003E4005"/>
    <w:rsid w:val="00467C0E"/>
    <w:rsid w:val="004720E9"/>
    <w:rsid w:val="004D7A15"/>
    <w:rsid w:val="004F0CED"/>
    <w:rsid w:val="005B1B51"/>
    <w:rsid w:val="005C02B9"/>
    <w:rsid w:val="005C4E46"/>
    <w:rsid w:val="005C501A"/>
    <w:rsid w:val="0060008F"/>
    <w:rsid w:val="006175C6"/>
    <w:rsid w:val="00654330"/>
    <w:rsid w:val="006822CE"/>
    <w:rsid w:val="006954E2"/>
    <w:rsid w:val="00697D2D"/>
    <w:rsid w:val="006A105B"/>
    <w:rsid w:val="006B1081"/>
    <w:rsid w:val="006B3B30"/>
    <w:rsid w:val="006E0A90"/>
    <w:rsid w:val="0070357C"/>
    <w:rsid w:val="00745B6A"/>
    <w:rsid w:val="007524AB"/>
    <w:rsid w:val="007901E8"/>
    <w:rsid w:val="007A6904"/>
    <w:rsid w:val="008057CA"/>
    <w:rsid w:val="00833898"/>
    <w:rsid w:val="00864132"/>
    <w:rsid w:val="00871882"/>
    <w:rsid w:val="00915548"/>
    <w:rsid w:val="009640BF"/>
    <w:rsid w:val="00982188"/>
    <w:rsid w:val="00A04F27"/>
    <w:rsid w:val="00A331F9"/>
    <w:rsid w:val="00A34B25"/>
    <w:rsid w:val="00A36372"/>
    <w:rsid w:val="00A40D82"/>
    <w:rsid w:val="00AD3AB2"/>
    <w:rsid w:val="00B17001"/>
    <w:rsid w:val="00B460AF"/>
    <w:rsid w:val="00B75EB9"/>
    <w:rsid w:val="00BA1D7F"/>
    <w:rsid w:val="00BD216A"/>
    <w:rsid w:val="00BE2691"/>
    <w:rsid w:val="00BE7747"/>
    <w:rsid w:val="00C573B6"/>
    <w:rsid w:val="00C62A32"/>
    <w:rsid w:val="00CA7D39"/>
    <w:rsid w:val="00CB2F8F"/>
    <w:rsid w:val="00CF74CA"/>
    <w:rsid w:val="00D3474F"/>
    <w:rsid w:val="00D66B55"/>
    <w:rsid w:val="00D73A5C"/>
    <w:rsid w:val="00E0137E"/>
    <w:rsid w:val="00E16E4B"/>
    <w:rsid w:val="00E1769F"/>
    <w:rsid w:val="00EE0337"/>
    <w:rsid w:val="00EF3E10"/>
    <w:rsid w:val="00F15EB0"/>
    <w:rsid w:val="00F569E6"/>
    <w:rsid w:val="00F736CA"/>
    <w:rsid w:val="00F92916"/>
    <w:rsid w:val="00F96A58"/>
    <w:rsid w:val="00F97EBE"/>
    <w:rsid w:val="00FC368B"/>
    <w:rsid w:val="00FC5E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51540"/>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Strong">
    <w:name w:val="Strong"/>
    <w:basedOn w:val="DefaultParagraphFont"/>
    <w:uiPriority w:val="22"/>
    <w:qFormat/>
    <w:rPr>
      <w:b/>
      <w:bCs/>
    </w:rPr>
  </w:style>
  <w:style w:type="paragraph" w:customStyle="1" w:styleId="ql-indent-1">
    <w:name w:val="ql-indent-1"/>
    <w:basedOn w:val="Normal"/>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8538">
      <w:bodyDiv w:val="1"/>
      <w:marLeft w:val="0"/>
      <w:marRight w:val="0"/>
      <w:marTop w:val="0"/>
      <w:marBottom w:val="0"/>
      <w:divBdr>
        <w:top w:val="none" w:sz="0" w:space="0" w:color="auto"/>
        <w:left w:val="none" w:sz="0" w:space="0" w:color="auto"/>
        <w:bottom w:val="none" w:sz="0" w:space="0" w:color="auto"/>
        <w:right w:val="none" w:sz="0" w:space="0" w:color="auto"/>
      </w:divBdr>
    </w:div>
    <w:div w:id="912861128">
      <w:bodyDiv w:val="1"/>
      <w:marLeft w:val="0"/>
      <w:marRight w:val="0"/>
      <w:marTop w:val="0"/>
      <w:marBottom w:val="0"/>
      <w:divBdr>
        <w:top w:val="none" w:sz="0" w:space="0" w:color="auto"/>
        <w:left w:val="none" w:sz="0" w:space="0" w:color="auto"/>
        <w:bottom w:val="none" w:sz="0" w:space="0" w:color="auto"/>
        <w:right w:val="none" w:sz="0" w:space="0" w:color="auto"/>
      </w:divBdr>
    </w:div>
    <w:div w:id="1524367757">
      <w:bodyDiv w:val="1"/>
      <w:marLeft w:val="0"/>
      <w:marRight w:val="0"/>
      <w:marTop w:val="0"/>
      <w:marBottom w:val="0"/>
      <w:divBdr>
        <w:top w:val="none" w:sz="0" w:space="0" w:color="auto"/>
        <w:left w:val="none" w:sz="0" w:space="0" w:color="auto"/>
        <w:bottom w:val="none" w:sz="0" w:space="0" w:color="auto"/>
        <w:right w:val="none" w:sz="0" w:space="0" w:color="auto"/>
      </w:divBdr>
    </w:div>
    <w:div w:id="1685982271">
      <w:bodyDiv w:val="1"/>
      <w:marLeft w:val="0"/>
      <w:marRight w:val="0"/>
      <w:marTop w:val="0"/>
      <w:marBottom w:val="0"/>
      <w:divBdr>
        <w:top w:val="none" w:sz="0" w:space="0" w:color="auto"/>
        <w:left w:val="none" w:sz="0" w:space="0" w:color="auto"/>
        <w:bottom w:val="none" w:sz="0" w:space="0" w:color="auto"/>
        <w:right w:val="none" w:sz="0" w:space="0" w:color="auto"/>
      </w:divBdr>
    </w:div>
    <w:div w:id="174556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035E4-AE12-4DF9-AE9D-84757222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5</Pages>
  <Words>2415</Words>
  <Characters>12198</Characters>
  <Application>Microsoft Office Word</Application>
  <DocSecurity>4</DocSecurity>
  <Lines>234</Lines>
  <Paragraphs>115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salesforceId:62e5a2bf-ca93-4f85-8799-dab3f8c3665e</dc:subject>
  <dc:creator>Anthony Moore</dc:creator>
  <cp:keywords/>
  <dc:description/>
  <cp:lastModifiedBy>Sarah Winnard</cp:lastModifiedBy>
  <cp:revision>4</cp:revision>
  <dcterms:created xsi:type="dcterms:W3CDTF">2026-05-28T12:32:00Z</dcterms:created>
  <dcterms:modified xsi:type="dcterms:W3CDTF">2026-05-28T13:00:00Z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069Sl00000Xl5fmIAB</vt:lpwstr>
  </property>
</Properties>
</file>