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0000"/>
          <w:spacing w:val="40"/>
          <w:sz w:val="24"/>
          <w:szCs w:val="24"/>
        </w:rPr>
        <w:t xml:space="preserve">PROLOCO</w:t>
      </w:r>
    </w:p>
    <w:p>
      <w:pPr>
        <w:spacing w:after="120"/>
      </w:pPr>
      <w:r>
        <w:rPr>
          <w:rFonts w:ascii="Calibri" w:cs="Calibri" w:eastAsia="Calibri" w:hAnsi="Calibri"/>
          <w:color w:val="595959"/>
          <w:sz w:val="18"/>
          <w:szCs w:val="18"/>
        </w:rPr>
        <w:t xml:space="preserve">The Wilco Test Ltd t/a Proloco</w:t>
      </w:r>
    </w:p>
    <w:p>
      <w:pPr>
        <w:pBdr>
          <w:bottom w:val="single" w:color="BFBFBF" w:sz="6" w:space="1"/>
        </w:pBdr>
        <w:spacing w:after="160"/>
      </w:pPr>
      <w:r>
        <w:t xml:space="preserve"/>
      </w:r>
    </w:p>
    <w:p>
      <w:pPr>
        <w:spacing w:after="40" w:before="120"/>
      </w:pPr>
      <w:r>
        <w:rPr>
          <w:rFonts w:ascii="Calibri" w:cs="Calibri" w:eastAsia="Calibri" w:hAnsi="Calibri"/>
          <w:b/>
          <w:bCs/>
          <w:color w:val="000000"/>
          <w:sz w:val="32"/>
          <w:szCs w:val="32"/>
        </w:rPr>
        <w:t xml:space="preserve">Manchester City Council Waste Proforma</w:t>
      </w:r>
    </w:p>
    <w:p>
      <w:pPr>
        <w:spacing w:after="200"/>
      </w:pPr>
      <w:r>
        <w:rPr>
          <w:rFonts w:ascii="Calibri" w:cs="Calibri" w:eastAsia="Calibri" w:hAnsi="Calibri"/>
          <w:color w:val="595959"/>
          <w:sz w:val="20"/>
          <w:szCs w:val="20"/>
        </w:rPr>
        <w:t xml:space="preserve">Appendix E of GD04 Waste Storage and Collection Guidance for New Developments (v7, Sept 2023)</w:t>
      </w:r>
    </w:p>
    <w:p>
      <w:pPr>
        <w:spacing w:after="120" w:line="276"/>
      </w:pPr>
      <w:r>
        <w:rPr>
          <w:rFonts w:ascii="Calibri" w:cs="Calibri" w:eastAsia="Calibri" w:hAnsi="Calibri"/>
          <w:b/>
          <w:bCs/>
          <w:color w:val="000000"/>
          <w:sz w:val="22"/>
          <w:szCs w:val="22"/>
        </w:rPr>
        <w:t xml:space="preserve">Note: </w:t>
      </w:r>
      <w:r>
        <w:rPr>
          <w:rFonts w:ascii="Calibri" w:cs="Calibri" w:eastAsia="Calibri" w:hAnsi="Calibri"/>
          <w:color w:val="000000"/>
          <w:sz w:val="22"/>
          <w:szCs w:val="22"/>
        </w:rPr>
        <w:t xml:space="preserve">This document reproduces the fields of the Council's Appendix E proforma for completion. Before submission, please transcribe the confirmed responses below onto the Council's official PDF proforma (GD04 Appendix E) available from manchester.gov.uk, or submit this alongside the Waste Management Strategy if the case officer accepts it in this form. Fields marked in red require confirmation of operational fact.</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3600"/>
        <w:gridCol w:w="5760"/>
      </w:tblGrid>
      <w:tr>
        <w:trPr>
          <w:tblHeader/>
        </w:trPr>
        <w:tc>
          <w:tcPr>
            <w:tcW w:type="dxa" w:w="3600"/>
            <w:shd w:fill="F2F2F2" w:val="clear"/>
            <w:tcMar>
              <w:top w:type="dxa" w:w="60"/>
              <w:left w:type="dxa" w:w="80"/>
              <w:bottom w:type="dxa" w:w="60"/>
              <w:right w:type="dxa" w:w="80"/>
            </w:tcMar>
          </w:tcPr>
          <w:p>
            <w:r>
              <w:rPr>
                <w:rFonts w:ascii="Calibri" w:cs="Calibri" w:eastAsia="Calibri" w:hAnsi="Calibri"/>
                <w:b/>
                <w:bCs/>
                <w:sz w:val="20"/>
                <w:szCs w:val="20"/>
              </w:rPr>
              <w:t xml:space="preserve">Proforma field</w:t>
            </w:r>
          </w:p>
        </w:tc>
        <w:tc>
          <w:tcPr>
            <w:tcW w:type="dxa" w:w="5760"/>
            <w:shd w:fill="F2F2F2" w:val="clear"/>
            <w:tcMar>
              <w:top w:type="dxa" w:w="60"/>
              <w:left w:type="dxa" w:w="80"/>
              <w:bottom w:type="dxa" w:w="60"/>
              <w:right w:type="dxa" w:w="80"/>
            </w:tcMar>
          </w:tcPr>
          <w:p>
            <w:r>
              <w:rPr>
                <w:rFonts w:ascii="Calibri" w:cs="Calibri" w:eastAsia="Calibri" w:hAnsi="Calibri"/>
                <w:b/>
                <w:bCs/>
                <w:sz w:val="20"/>
                <w:szCs w:val="20"/>
              </w:rPr>
              <w:t xml:space="preserve">Response</w:t>
            </w:r>
          </w:p>
        </w:tc>
      </w:tr>
      <w:tr>
        <w:tc>
          <w:tcPr>
            <w:tcW w:type="dxa" w:w="3600"/>
            <w:tcMar>
              <w:top w:type="dxa" w:w="60"/>
              <w:left w:type="dxa" w:w="80"/>
              <w:bottom w:type="dxa" w:w="60"/>
              <w:right w:type="dxa" w:w="80"/>
            </w:tcMar>
          </w:tcPr>
          <w:p>
            <w:r>
              <w:rPr>
                <w:rFonts w:ascii="Calibri" w:cs="Calibri" w:eastAsia="Calibri" w:hAnsi="Calibri"/>
                <w:sz w:val="20"/>
                <w:szCs w:val="20"/>
              </w:rPr>
              <w:t xml:space="preserve">Name of development / premises</w:t>
            </w:r>
          </w:p>
        </w:tc>
        <w:tc>
          <w:tcPr>
            <w:tcW w:type="dxa" w:w="5760"/>
            <w:tcMar>
              <w:top w:type="dxa" w:w="60"/>
              <w:left w:type="dxa" w:w="80"/>
              <w:bottom w:type="dxa" w:w="60"/>
              <w:right w:type="dxa" w:w="80"/>
            </w:tcMar>
          </w:tcPr>
          <w:p>
            <w:r>
              <w:rPr>
                <w:rFonts w:ascii="Calibri" w:cs="Calibri" w:eastAsia="Calibri" w:hAnsi="Calibri"/>
                <w:sz w:val="20"/>
                <w:szCs w:val="20"/>
              </w:rPr>
              <w:t xml:space="preserve">Proloco (The Wilco Test Ltd), Unit 2, One Port Street</w:t>
            </w:r>
          </w:p>
        </w:tc>
      </w:tr>
      <w:tr>
        <w:tc>
          <w:tcPr>
            <w:tcW w:type="dxa" w:w="3600"/>
            <w:tcMar>
              <w:top w:type="dxa" w:w="60"/>
              <w:left w:type="dxa" w:w="80"/>
              <w:bottom w:type="dxa" w:w="60"/>
              <w:right w:type="dxa" w:w="80"/>
            </w:tcMar>
          </w:tcPr>
          <w:p>
            <w:r>
              <w:rPr>
                <w:rFonts w:ascii="Calibri" w:cs="Calibri" w:eastAsia="Calibri" w:hAnsi="Calibri"/>
                <w:sz w:val="20"/>
                <w:szCs w:val="20"/>
              </w:rPr>
              <w:t xml:space="preserve">Site address</w:t>
            </w:r>
          </w:p>
        </w:tc>
        <w:tc>
          <w:tcPr>
            <w:tcW w:type="dxa" w:w="5760"/>
            <w:tcMar>
              <w:top w:type="dxa" w:w="60"/>
              <w:left w:type="dxa" w:w="80"/>
              <w:bottom w:type="dxa" w:w="60"/>
              <w:right w:type="dxa" w:w="80"/>
            </w:tcMar>
          </w:tcPr>
          <w:p>
            <w:r>
              <w:rPr>
                <w:rFonts w:ascii="Calibri" w:cs="Calibri" w:eastAsia="Calibri" w:hAnsi="Calibri"/>
                <w:sz w:val="20"/>
                <w:szCs w:val="20"/>
              </w:rPr>
              <w:t xml:space="preserve">74 Great Ancoats Street, Manchester M4 5GU</w:t>
            </w:r>
          </w:p>
        </w:tc>
      </w:tr>
      <w:tr>
        <w:tc>
          <w:tcPr>
            <w:tcW w:type="dxa" w:w="3600"/>
            <w:tcMar>
              <w:top w:type="dxa" w:w="60"/>
              <w:left w:type="dxa" w:w="80"/>
              <w:bottom w:type="dxa" w:w="60"/>
              <w:right w:type="dxa" w:w="80"/>
            </w:tcMar>
          </w:tcPr>
          <w:p>
            <w:r>
              <w:rPr>
                <w:rFonts w:ascii="Calibri" w:cs="Calibri" w:eastAsia="Calibri" w:hAnsi="Calibri"/>
                <w:sz w:val="20"/>
                <w:szCs w:val="20"/>
              </w:rPr>
              <w:t xml:space="preserve">Applicant / operator</w:t>
            </w:r>
          </w:p>
        </w:tc>
        <w:tc>
          <w:tcPr>
            <w:tcW w:type="dxa" w:w="5760"/>
            <w:tcMar>
              <w:top w:type="dxa" w:w="60"/>
              <w:left w:type="dxa" w:w="80"/>
              <w:bottom w:type="dxa" w:w="60"/>
              <w:right w:type="dxa" w:w="80"/>
            </w:tcMar>
          </w:tcPr>
          <w:p>
            <w:r>
              <w:rPr>
                <w:rFonts w:ascii="Calibri" w:cs="Calibri" w:eastAsia="Calibri" w:hAnsi="Calibri"/>
                <w:sz w:val="20"/>
                <w:szCs w:val="20"/>
              </w:rPr>
              <w:t xml:space="preserve">The Wilco Test Ltd t/a Proloco</w:t>
            </w:r>
          </w:p>
        </w:tc>
      </w:tr>
      <w:tr>
        <w:tc>
          <w:tcPr>
            <w:tcW w:type="dxa" w:w="3600"/>
            <w:tcMar>
              <w:top w:type="dxa" w:w="60"/>
              <w:left w:type="dxa" w:w="80"/>
              <w:bottom w:type="dxa" w:w="60"/>
              <w:right w:type="dxa" w:w="80"/>
            </w:tcMar>
          </w:tcPr>
          <w:p>
            <w:r>
              <w:rPr>
                <w:rFonts w:ascii="Calibri" w:cs="Calibri" w:eastAsia="Calibri" w:hAnsi="Calibri"/>
                <w:sz w:val="20"/>
                <w:szCs w:val="20"/>
              </w:rPr>
              <w:t xml:space="preserve">Type of development</w:t>
            </w:r>
          </w:p>
        </w:tc>
        <w:tc>
          <w:tcPr>
            <w:tcW w:type="dxa" w:w="5760"/>
            <w:tcMar>
              <w:top w:type="dxa" w:w="60"/>
              <w:left w:type="dxa" w:w="80"/>
              <w:bottom w:type="dxa" w:w="60"/>
              <w:right w:type="dxa" w:w="80"/>
            </w:tcMar>
          </w:tcPr>
          <w:p>
            <w:r>
              <w:rPr>
                <w:rFonts w:ascii="Calibri" w:cs="Calibri" w:eastAsia="Calibri" w:hAnsi="Calibri"/>
                <w:sz w:val="20"/>
                <w:szCs w:val="20"/>
              </w:rPr>
              <w:t xml:space="preserve">Sui generis - restaurant with ancillary bar (72 covers)</w:t>
            </w:r>
          </w:p>
        </w:tc>
      </w:tr>
      <w:tr>
        <w:tc>
          <w:tcPr>
            <w:tcW w:type="dxa" w:w="3600"/>
            <w:tcMar>
              <w:top w:type="dxa" w:w="60"/>
              <w:left w:type="dxa" w:w="80"/>
              <w:bottom w:type="dxa" w:w="60"/>
              <w:right w:type="dxa" w:w="80"/>
            </w:tcMar>
          </w:tcPr>
          <w:p>
            <w:r>
              <w:rPr>
                <w:rFonts w:ascii="Calibri" w:cs="Calibri" w:eastAsia="Calibri" w:hAnsi="Calibri"/>
                <w:sz w:val="20"/>
                <w:szCs w:val="20"/>
              </w:rPr>
              <w:t xml:space="preserve">Number of residential units</w:t>
            </w:r>
          </w:p>
        </w:tc>
        <w:tc>
          <w:tcPr>
            <w:tcW w:type="dxa" w:w="5760"/>
            <w:tcMar>
              <w:top w:type="dxa" w:w="60"/>
              <w:left w:type="dxa" w:w="80"/>
              <w:bottom w:type="dxa" w:w="60"/>
              <w:right w:type="dxa" w:w="80"/>
            </w:tcMar>
          </w:tcPr>
          <w:p>
            <w:r>
              <w:rPr>
                <w:rFonts w:ascii="Calibri" w:cs="Calibri" w:eastAsia="Calibri" w:hAnsi="Calibri"/>
                <w:sz w:val="20"/>
                <w:szCs w:val="20"/>
              </w:rPr>
              <w:t xml:space="preserve">None (commercial premises only)</w:t>
            </w:r>
          </w:p>
        </w:tc>
      </w:tr>
      <w:tr>
        <w:tc>
          <w:tcPr>
            <w:tcW w:type="dxa" w:w="3600"/>
            <w:tcMar>
              <w:top w:type="dxa" w:w="60"/>
              <w:left w:type="dxa" w:w="80"/>
              <w:bottom w:type="dxa" w:w="60"/>
              <w:right w:type="dxa" w:w="80"/>
            </w:tcMar>
          </w:tcPr>
          <w:p>
            <w:r>
              <w:rPr>
                <w:rFonts w:ascii="Calibri" w:cs="Calibri" w:eastAsia="Calibri" w:hAnsi="Calibri"/>
                <w:sz w:val="20"/>
                <w:szCs w:val="20"/>
              </w:rPr>
              <w:t xml:space="preserve">Commercial floor area</w:t>
            </w:r>
          </w:p>
        </w:tc>
        <w:tc>
          <w:tcPr>
            <w:tcW w:type="dxa" w:w="5760"/>
            <w:tcMar>
              <w:top w:type="dxa" w:w="60"/>
              <w:left w:type="dxa" w:w="80"/>
              <w:bottom w:type="dxa" w:w="60"/>
              <w:right w:type="dxa" w:w="80"/>
            </w:tcMar>
          </w:tcPr>
          <w:p>
            <w:r>
              <w:rPr>
                <w:rFonts w:ascii="Calibri" w:cs="Calibri" w:eastAsia="Calibri" w:hAnsi="Calibri"/>
                <w:sz w:val="20"/>
                <w:szCs w:val="20"/>
              </w:rPr>
              <w:t xml:space="preserve">157.4 sqm (Retail Unit 02, per lease demise plan)</w:t>
            </w:r>
          </w:p>
        </w:tc>
      </w:tr>
      <w:tr>
        <w:tc>
          <w:tcPr>
            <w:tcW w:type="dxa" w:w="3600"/>
            <w:tcMar>
              <w:top w:type="dxa" w:w="60"/>
              <w:left w:type="dxa" w:w="80"/>
              <w:bottom w:type="dxa" w:w="60"/>
              <w:right w:type="dxa" w:w="80"/>
            </w:tcMar>
          </w:tcPr>
          <w:p>
            <w:r>
              <w:rPr>
                <w:rFonts w:ascii="Calibri" w:cs="Calibri" w:eastAsia="Calibri" w:hAnsi="Calibri"/>
                <w:sz w:val="20"/>
                <w:szCs w:val="20"/>
              </w:rPr>
              <w:t xml:space="preserve">Is this a mixed-use development?</w:t>
            </w:r>
          </w:p>
        </w:tc>
        <w:tc>
          <w:tcPr>
            <w:tcW w:type="dxa" w:w="5760"/>
            <w:tcMar>
              <w:top w:type="dxa" w:w="60"/>
              <w:left w:type="dxa" w:w="80"/>
              <w:bottom w:type="dxa" w:w="60"/>
              <w:right w:type="dxa" w:w="80"/>
            </w:tcMar>
          </w:tcPr>
          <w:p>
            <w:r>
              <w:rPr>
                <w:rFonts w:ascii="Calibri" w:cs="Calibri" w:eastAsia="Calibri" w:hAnsi="Calibri"/>
                <w:sz w:val="20"/>
                <w:szCs w:val="20"/>
              </w:rPr>
              <w:t xml:space="preserve">The wider One Port Street development is mixed use; the Proloco demise is commercial. Separate commercial refuse provision applies.</w:t>
            </w:r>
          </w:p>
        </w:tc>
      </w:tr>
      <w:tr>
        <w:tc>
          <w:tcPr>
            <w:tcW w:type="dxa" w:w="3600"/>
            <w:tcMar>
              <w:top w:type="dxa" w:w="60"/>
              <w:left w:type="dxa" w:w="80"/>
              <w:bottom w:type="dxa" w:w="60"/>
              <w:right w:type="dxa" w:w="80"/>
            </w:tcMar>
          </w:tcPr>
          <w:p>
            <w:r>
              <w:rPr>
                <w:rFonts w:ascii="Calibri" w:cs="Calibri" w:eastAsia="Calibri" w:hAnsi="Calibri"/>
                <w:sz w:val="20"/>
                <w:szCs w:val="20"/>
              </w:rPr>
              <w:t xml:space="preserve">Waste streams to be segregated</w:t>
            </w:r>
          </w:p>
        </w:tc>
        <w:tc>
          <w:tcPr>
            <w:tcW w:type="dxa" w:w="5760"/>
            <w:tcMar>
              <w:top w:type="dxa" w:w="60"/>
              <w:left w:type="dxa" w:w="80"/>
              <w:bottom w:type="dxa" w:w="60"/>
              <w:right w:type="dxa" w:w="80"/>
            </w:tcMar>
          </w:tcPr>
          <w:p>
            <w:r>
              <w:rPr>
                <w:rFonts w:ascii="Calibri" w:cs="Calibri" w:eastAsia="Calibri" w:hAnsi="Calibri"/>
                <w:sz w:val="20"/>
                <w:szCs w:val="20"/>
              </w:rPr>
              <w:t xml:space="preserve">General residual waste; mixed dry recycling (incl. co-mingled glass and cardboard); food waste; waste cooking oil (separate)</w:t>
            </w:r>
          </w:p>
        </w:tc>
      </w:tr>
      <w:tr>
        <w:tc>
          <w:tcPr>
            <w:tcW w:type="dxa" w:w="3600"/>
            <w:tcMar>
              <w:top w:type="dxa" w:w="60"/>
              <w:left w:type="dxa" w:w="80"/>
              <w:bottom w:type="dxa" w:w="60"/>
              <w:right w:type="dxa" w:w="80"/>
            </w:tcMar>
          </w:tcPr>
          <w:p>
            <w:r>
              <w:rPr>
                <w:rFonts w:ascii="Calibri" w:cs="Calibri" w:eastAsia="Calibri" w:hAnsi="Calibri"/>
                <w:sz w:val="20"/>
                <w:szCs w:val="20"/>
              </w:rPr>
              <w:t xml:space="preserve">General waste - container type &amp; number</w:t>
            </w:r>
          </w:p>
        </w:tc>
        <w:tc>
          <w:tcPr>
            <w:tcW w:type="dxa" w:w="5760"/>
            <w:tcMar>
              <w:top w:type="dxa" w:w="60"/>
              <w:left w:type="dxa" w:w="80"/>
              <w:bottom w:type="dxa" w:w="60"/>
              <w:right w:type="dxa" w:w="80"/>
            </w:tcMar>
          </w:tcPr>
          <w:p>
            <w:r>
              <w:rPr>
                <w:rFonts w:ascii="Calibri" w:cs="Calibri" w:eastAsia="Calibri" w:hAnsi="Calibri"/>
                <w:b/>
                <w:bCs/>
                <w:color w:val="C00000"/>
                <w:sz w:val="22"/>
                <w:szCs w:val="22"/>
              </w:rPr>
              <w:t xml:space="preserve">1 x general waste bin (internal store) - [size TBC with carrier]</w:t>
            </w:r>
          </w:p>
        </w:tc>
      </w:tr>
      <w:tr>
        <w:tc>
          <w:tcPr>
            <w:tcW w:type="dxa" w:w="3600"/>
            <w:tcMar>
              <w:top w:type="dxa" w:w="60"/>
              <w:left w:type="dxa" w:w="80"/>
              <w:bottom w:type="dxa" w:w="60"/>
              <w:right w:type="dxa" w:w="80"/>
            </w:tcMar>
          </w:tcPr>
          <w:p>
            <w:r>
              <w:rPr>
                <w:rFonts w:ascii="Calibri" w:cs="Calibri" w:eastAsia="Calibri" w:hAnsi="Calibri"/>
                <w:sz w:val="20"/>
                <w:szCs w:val="20"/>
              </w:rPr>
              <w:t xml:space="preserve">Recycling - container type &amp; number</w:t>
            </w:r>
          </w:p>
        </w:tc>
        <w:tc>
          <w:tcPr>
            <w:tcW w:type="dxa" w:w="5760"/>
            <w:tcMar>
              <w:top w:type="dxa" w:w="60"/>
              <w:left w:type="dxa" w:w="80"/>
              <w:bottom w:type="dxa" w:w="60"/>
              <w:right w:type="dxa" w:w="80"/>
            </w:tcMar>
          </w:tcPr>
          <w:p>
            <w:r>
              <w:rPr>
                <w:rFonts w:ascii="Calibri" w:cs="Calibri" w:eastAsia="Calibri" w:hAnsi="Calibri"/>
                <w:b/>
                <w:bCs/>
                <w:color w:val="C00000"/>
                <w:sz w:val="22"/>
                <w:szCs w:val="22"/>
              </w:rPr>
              <w:t xml:space="preserve">1 x mixed dry recycling bin, incl. co-mingled glass and cardboard (internal store) - [size TBC with carrier]</w:t>
            </w:r>
          </w:p>
        </w:tc>
      </w:tr>
      <w:tr>
        <w:tc>
          <w:tcPr>
            <w:tcW w:type="dxa" w:w="3600"/>
            <w:tcMar>
              <w:top w:type="dxa" w:w="60"/>
              <w:left w:type="dxa" w:w="80"/>
              <w:bottom w:type="dxa" w:w="60"/>
              <w:right w:type="dxa" w:w="80"/>
            </w:tcMar>
          </w:tcPr>
          <w:p>
            <w:r>
              <w:rPr>
                <w:rFonts w:ascii="Calibri" w:cs="Calibri" w:eastAsia="Calibri" w:hAnsi="Calibri"/>
                <w:sz w:val="20"/>
                <w:szCs w:val="20"/>
              </w:rPr>
              <w:t xml:space="preserve">Glass</w:t>
            </w:r>
          </w:p>
        </w:tc>
        <w:tc>
          <w:tcPr>
            <w:tcW w:type="dxa" w:w="5760"/>
            <w:tcMar>
              <w:top w:type="dxa" w:w="60"/>
              <w:left w:type="dxa" w:w="80"/>
              <w:bottom w:type="dxa" w:w="60"/>
              <w:right w:type="dxa" w:w="80"/>
            </w:tcMar>
          </w:tcPr>
          <w:p>
            <w:r>
              <w:rPr>
                <w:rFonts w:ascii="Calibri" w:cs="Calibri" w:eastAsia="Calibri" w:hAnsi="Calibri"/>
                <w:sz w:val="20"/>
                <w:szCs w:val="20"/>
              </w:rPr>
              <w:t xml:space="preserve">Co-mingled into the mixed dry recycling stream</w:t>
            </w:r>
          </w:p>
        </w:tc>
      </w:tr>
      <w:tr>
        <w:tc>
          <w:tcPr>
            <w:tcW w:type="dxa" w:w="3600"/>
            <w:tcMar>
              <w:top w:type="dxa" w:w="60"/>
              <w:left w:type="dxa" w:w="80"/>
              <w:bottom w:type="dxa" w:w="60"/>
              <w:right w:type="dxa" w:w="80"/>
            </w:tcMar>
          </w:tcPr>
          <w:p>
            <w:r>
              <w:rPr>
                <w:rFonts w:ascii="Calibri" w:cs="Calibri" w:eastAsia="Calibri" w:hAnsi="Calibri"/>
                <w:sz w:val="20"/>
                <w:szCs w:val="20"/>
              </w:rPr>
              <w:t xml:space="preserve">Food waste - container type &amp; number</w:t>
            </w:r>
          </w:p>
        </w:tc>
        <w:tc>
          <w:tcPr>
            <w:tcW w:type="dxa" w:w="5760"/>
            <w:tcMar>
              <w:top w:type="dxa" w:w="60"/>
              <w:left w:type="dxa" w:w="80"/>
              <w:bottom w:type="dxa" w:w="60"/>
              <w:right w:type="dxa" w:w="80"/>
            </w:tcMar>
          </w:tcPr>
          <w:p>
            <w:r>
              <w:rPr>
                <w:rFonts w:ascii="Calibri" w:cs="Calibri" w:eastAsia="Calibri" w:hAnsi="Calibri"/>
                <w:b/>
                <w:bCs/>
                <w:color w:val="C00000"/>
                <w:sz w:val="22"/>
                <w:szCs w:val="22"/>
              </w:rPr>
              <w:t xml:space="preserve">1 x sealed food waste bin (internal store) - [size TBC with carrier]</w:t>
            </w:r>
          </w:p>
        </w:tc>
      </w:tr>
      <w:tr>
        <w:tc>
          <w:tcPr>
            <w:tcW w:type="dxa" w:w="3600"/>
            <w:tcMar>
              <w:top w:type="dxa" w:w="60"/>
              <w:left w:type="dxa" w:w="80"/>
              <w:bottom w:type="dxa" w:w="60"/>
              <w:right w:type="dxa" w:w="80"/>
            </w:tcMar>
          </w:tcPr>
          <w:p>
            <w:r>
              <w:rPr>
                <w:rFonts w:ascii="Calibri" w:cs="Calibri" w:eastAsia="Calibri" w:hAnsi="Calibri"/>
                <w:sz w:val="20"/>
                <w:szCs w:val="20"/>
              </w:rPr>
              <w:t xml:space="preserve">Waste cooking oil</w:t>
            </w:r>
          </w:p>
        </w:tc>
        <w:tc>
          <w:tcPr>
            <w:tcW w:type="dxa" w:w="5760"/>
            <w:tcMar>
              <w:top w:type="dxa" w:w="60"/>
              <w:left w:type="dxa" w:w="80"/>
              <w:bottom w:type="dxa" w:w="60"/>
              <w:right w:type="dxa" w:w="80"/>
            </w:tcMar>
          </w:tcPr>
          <w:p>
            <w:r>
              <w:rPr>
                <w:rFonts w:ascii="Calibri" w:cs="Calibri" w:eastAsia="Calibri" w:hAnsi="Calibri"/>
                <w:sz w:val="20"/>
                <w:szCs w:val="20"/>
              </w:rPr>
              <w:t xml:space="preserve">Separate sealed container, collected on demand by a licensed processor</w:t>
            </w:r>
          </w:p>
        </w:tc>
      </w:tr>
      <w:tr>
        <w:tc>
          <w:tcPr>
            <w:tcW w:type="dxa" w:w="3600"/>
            <w:tcMar>
              <w:top w:type="dxa" w:w="60"/>
              <w:left w:type="dxa" w:w="80"/>
              <w:bottom w:type="dxa" w:w="60"/>
              <w:right w:type="dxa" w:w="80"/>
            </w:tcMar>
          </w:tcPr>
          <w:p>
            <w:r>
              <w:rPr>
                <w:rFonts w:ascii="Calibri" w:cs="Calibri" w:eastAsia="Calibri" w:hAnsi="Calibri"/>
                <w:sz w:val="20"/>
                <w:szCs w:val="20"/>
              </w:rPr>
              <w:t xml:space="preserve">Total waste storage capacity provided</w:t>
            </w:r>
          </w:p>
        </w:tc>
        <w:tc>
          <w:tcPr>
            <w:tcW w:type="dxa" w:w="5760"/>
            <w:tcMar>
              <w:top w:type="dxa" w:w="60"/>
              <w:left w:type="dxa" w:w="80"/>
              <w:bottom w:type="dxa" w:w="60"/>
              <w:right w:type="dxa" w:w="80"/>
            </w:tcMar>
          </w:tcPr>
          <w:p>
            <w:r>
              <w:rPr>
                <w:rFonts w:ascii="Calibri" w:cs="Calibri" w:eastAsia="Calibri" w:hAnsi="Calibri"/>
                <w:b/>
                <w:bCs/>
                <w:color w:val="C00000"/>
                <w:sz w:val="22"/>
                <w:szCs w:val="22"/>
              </w:rPr>
              <w:t xml:space="preserve">[TBC once container sizes finalised with carrier]</w:t>
            </w:r>
          </w:p>
        </w:tc>
      </w:tr>
      <w:tr>
        <w:tc>
          <w:tcPr>
            <w:tcW w:type="dxa" w:w="3600"/>
            <w:tcMar>
              <w:top w:type="dxa" w:w="60"/>
              <w:left w:type="dxa" w:w="80"/>
              <w:bottom w:type="dxa" w:w="60"/>
              <w:right w:type="dxa" w:w="80"/>
            </w:tcMar>
          </w:tcPr>
          <w:p>
            <w:r>
              <w:rPr>
                <w:rFonts w:ascii="Calibri" w:cs="Calibri" w:eastAsia="Calibri" w:hAnsi="Calibri"/>
                <w:sz w:val="20"/>
                <w:szCs w:val="20"/>
              </w:rPr>
              <w:t xml:space="preserve">Location of waste storage area</w:t>
            </w:r>
          </w:p>
        </w:tc>
        <w:tc>
          <w:tcPr>
            <w:tcW w:type="dxa" w:w="5760"/>
            <w:tcMar>
              <w:top w:type="dxa" w:w="60"/>
              <w:left w:type="dxa" w:w="80"/>
              <w:bottom w:type="dxa" w:w="60"/>
              <w:right w:type="dxa" w:w="80"/>
            </w:tcMar>
          </w:tcPr>
          <w:p>
            <w:r>
              <w:rPr>
                <w:rFonts w:ascii="Calibri" w:cs="Calibri" w:eastAsia="Calibri" w:hAnsi="Calibri"/>
                <w:sz w:val="20"/>
                <w:szCs w:val="20"/>
              </w:rPr>
              <w:t xml:space="preserve">Dedicated internal bin store within the premises</w:t>
            </w:r>
          </w:p>
        </w:tc>
      </w:tr>
      <w:tr>
        <w:tc>
          <w:tcPr>
            <w:tcW w:type="dxa" w:w="3600"/>
            <w:tcMar>
              <w:top w:type="dxa" w:w="60"/>
              <w:left w:type="dxa" w:w="80"/>
              <w:bottom w:type="dxa" w:w="60"/>
              <w:right w:type="dxa" w:w="80"/>
            </w:tcMar>
          </w:tcPr>
          <w:p>
            <w:r>
              <w:rPr>
                <w:rFonts w:ascii="Calibri" w:cs="Calibri" w:eastAsia="Calibri" w:hAnsi="Calibri"/>
                <w:sz w:val="20"/>
                <w:szCs w:val="20"/>
              </w:rPr>
              <w:t xml:space="preserve">Is the storage area within the site curtilage?</w:t>
            </w:r>
          </w:p>
        </w:tc>
        <w:tc>
          <w:tcPr>
            <w:tcW w:type="dxa" w:w="5760"/>
            <w:tcMar>
              <w:top w:type="dxa" w:w="60"/>
              <w:left w:type="dxa" w:w="80"/>
              <w:bottom w:type="dxa" w:w="60"/>
              <w:right w:type="dxa" w:w="80"/>
            </w:tcMar>
          </w:tcPr>
          <w:p>
            <w:r>
              <w:rPr>
                <w:rFonts w:ascii="Calibri" w:cs="Calibri" w:eastAsia="Calibri" w:hAnsi="Calibri"/>
                <w:sz w:val="20"/>
                <w:szCs w:val="20"/>
              </w:rPr>
              <w:t xml:space="preserve">Yes - internal to the premises</w:t>
            </w:r>
          </w:p>
        </w:tc>
      </w:tr>
      <w:tr>
        <w:tc>
          <w:tcPr>
            <w:tcW w:type="dxa" w:w="3600"/>
            <w:tcMar>
              <w:top w:type="dxa" w:w="60"/>
              <w:left w:type="dxa" w:w="80"/>
              <w:bottom w:type="dxa" w:w="60"/>
              <w:right w:type="dxa" w:w="80"/>
            </w:tcMar>
          </w:tcPr>
          <w:p>
            <w:r>
              <w:rPr>
                <w:rFonts w:ascii="Calibri" w:cs="Calibri" w:eastAsia="Calibri" w:hAnsi="Calibri"/>
                <w:sz w:val="20"/>
                <w:szCs w:val="20"/>
              </w:rPr>
              <w:t xml:space="preserve">Is the storage area screened / enclosed?</w:t>
            </w:r>
          </w:p>
        </w:tc>
        <w:tc>
          <w:tcPr>
            <w:tcW w:type="dxa" w:w="5760"/>
            <w:tcMar>
              <w:top w:type="dxa" w:w="60"/>
              <w:left w:type="dxa" w:w="80"/>
              <w:bottom w:type="dxa" w:w="60"/>
              <w:right w:type="dxa" w:w="80"/>
            </w:tcMar>
          </w:tcPr>
          <w:p>
            <w:r>
              <w:rPr>
                <w:rFonts w:ascii="Calibri" w:cs="Calibri" w:eastAsia="Calibri" w:hAnsi="Calibri"/>
                <w:sz w:val="20"/>
                <w:szCs w:val="20"/>
              </w:rPr>
              <w:t xml:space="preserve">Yes - fully internal store; no external screening required</w:t>
            </w:r>
          </w:p>
        </w:tc>
      </w:tr>
      <w:tr>
        <w:tc>
          <w:tcPr>
            <w:tcW w:type="dxa" w:w="3600"/>
            <w:tcMar>
              <w:top w:type="dxa" w:w="60"/>
              <w:left w:type="dxa" w:w="80"/>
              <w:bottom w:type="dxa" w:w="60"/>
              <w:right w:type="dxa" w:w="80"/>
            </w:tcMar>
          </w:tcPr>
          <w:p>
            <w:r>
              <w:rPr>
                <w:rFonts w:ascii="Calibri" w:cs="Calibri" w:eastAsia="Calibri" w:hAnsi="Calibri"/>
                <w:sz w:val="20"/>
                <w:szCs w:val="20"/>
              </w:rPr>
              <w:t xml:space="preserve">Ventilation of storage area</w:t>
            </w:r>
          </w:p>
        </w:tc>
        <w:tc>
          <w:tcPr>
            <w:tcW w:type="dxa" w:w="5760"/>
            <w:tcMar>
              <w:top w:type="dxa" w:w="60"/>
              <w:left w:type="dxa" w:w="80"/>
              <w:bottom w:type="dxa" w:w="60"/>
              <w:right w:type="dxa" w:w="80"/>
            </w:tcMar>
          </w:tcPr>
          <w:p>
            <w:r>
              <w:rPr>
                <w:rFonts w:ascii="Calibri" w:cs="Calibri" w:eastAsia="Calibri" w:hAnsi="Calibri"/>
                <w:sz w:val="20"/>
                <w:szCs w:val="20"/>
              </w:rPr>
              <w:t xml:space="preserve">Fully ventilated</w:t>
            </w:r>
          </w:p>
        </w:tc>
      </w:tr>
      <w:tr>
        <w:tc>
          <w:tcPr>
            <w:tcW w:type="dxa" w:w="3600"/>
            <w:tcMar>
              <w:top w:type="dxa" w:w="60"/>
              <w:left w:type="dxa" w:w="80"/>
              <w:bottom w:type="dxa" w:w="60"/>
              <w:right w:type="dxa" w:w="80"/>
            </w:tcMar>
          </w:tcPr>
          <w:p>
            <w:r>
              <w:rPr>
                <w:rFonts w:ascii="Calibri" w:cs="Calibri" w:eastAsia="Calibri" w:hAnsi="Calibri"/>
                <w:sz w:val="20"/>
                <w:szCs w:val="20"/>
              </w:rPr>
              <w:t xml:space="preserve">Wall construction of storage area</w:t>
            </w:r>
          </w:p>
        </w:tc>
        <w:tc>
          <w:tcPr>
            <w:tcW w:type="dxa" w:w="5760"/>
            <w:tcMar>
              <w:top w:type="dxa" w:w="60"/>
              <w:left w:type="dxa" w:w="80"/>
              <w:bottom w:type="dxa" w:w="60"/>
              <w:right w:type="dxa" w:w="80"/>
            </w:tcMar>
          </w:tcPr>
          <w:p>
            <w:r>
              <w:rPr>
                <w:rFonts w:ascii="Calibri" w:cs="Calibri" w:eastAsia="Calibri" w:hAnsi="Calibri"/>
                <w:sz w:val="20"/>
                <w:szCs w:val="20"/>
              </w:rPr>
              <w:t xml:space="preserve">Fire-retardant walls</w:t>
            </w:r>
          </w:p>
        </w:tc>
      </w:tr>
      <w:tr>
        <w:tc>
          <w:tcPr>
            <w:tcW w:type="dxa" w:w="3600"/>
            <w:tcMar>
              <w:top w:type="dxa" w:w="60"/>
              <w:left w:type="dxa" w:w="80"/>
              <w:bottom w:type="dxa" w:w="60"/>
              <w:right w:type="dxa" w:w="80"/>
            </w:tcMar>
          </w:tcPr>
          <w:p>
            <w:r>
              <w:rPr>
                <w:rFonts w:ascii="Calibri" w:cs="Calibri" w:eastAsia="Calibri" w:hAnsi="Calibri"/>
                <w:sz w:val="20"/>
                <w:szCs w:val="20"/>
              </w:rPr>
              <w:t xml:space="preserve">Floor surface of storage area</w:t>
            </w:r>
          </w:p>
        </w:tc>
        <w:tc>
          <w:tcPr>
            <w:tcW w:type="dxa" w:w="5760"/>
            <w:tcMar>
              <w:top w:type="dxa" w:w="60"/>
              <w:left w:type="dxa" w:w="80"/>
              <w:bottom w:type="dxa" w:w="60"/>
              <w:right w:type="dxa" w:w="80"/>
            </w:tcMar>
          </w:tcPr>
          <w:p>
            <w:r>
              <w:rPr>
                <w:rFonts w:ascii="Calibri" w:cs="Calibri" w:eastAsia="Calibri" w:hAnsi="Calibri"/>
                <w:sz w:val="20"/>
                <w:szCs w:val="20"/>
              </w:rPr>
              <w:t xml:space="preserve">Hard, impervious, cleanable surface</w:t>
            </w:r>
          </w:p>
        </w:tc>
      </w:tr>
      <w:tr>
        <w:tc>
          <w:tcPr>
            <w:tcW w:type="dxa" w:w="3600"/>
            <w:tcMar>
              <w:top w:type="dxa" w:w="60"/>
              <w:left w:type="dxa" w:w="80"/>
              <w:bottom w:type="dxa" w:w="60"/>
              <w:right w:type="dxa" w:w="80"/>
            </w:tcMar>
          </w:tcPr>
          <w:p>
            <w:r>
              <w:rPr>
                <w:rFonts w:ascii="Calibri" w:cs="Calibri" w:eastAsia="Calibri" w:hAnsi="Calibri"/>
                <w:sz w:val="20"/>
                <w:szCs w:val="20"/>
              </w:rPr>
              <w:t xml:space="preserve">Lighting to storage area</w:t>
            </w:r>
          </w:p>
        </w:tc>
        <w:tc>
          <w:tcPr>
            <w:tcW w:type="dxa" w:w="5760"/>
            <w:tcMar>
              <w:top w:type="dxa" w:w="60"/>
              <w:left w:type="dxa" w:w="80"/>
              <w:bottom w:type="dxa" w:w="60"/>
              <w:right w:type="dxa" w:w="80"/>
            </w:tcMar>
          </w:tcPr>
          <w:p>
            <w:r>
              <w:rPr>
                <w:rFonts w:ascii="Calibri" w:cs="Calibri" w:eastAsia="Calibri" w:hAnsi="Calibri"/>
                <w:sz w:val="20"/>
                <w:szCs w:val="20"/>
              </w:rPr>
              <w:t xml:space="preserve">Yes</w:t>
            </w:r>
          </w:p>
        </w:tc>
      </w:tr>
      <w:tr>
        <w:tc>
          <w:tcPr>
            <w:tcW w:type="dxa" w:w="3600"/>
            <w:tcMar>
              <w:top w:type="dxa" w:w="60"/>
              <w:left w:type="dxa" w:w="80"/>
              <w:bottom w:type="dxa" w:w="60"/>
              <w:right w:type="dxa" w:w="80"/>
            </w:tcMar>
          </w:tcPr>
          <w:p>
            <w:r>
              <w:rPr>
                <w:rFonts w:ascii="Calibri" w:cs="Calibri" w:eastAsia="Calibri" w:hAnsi="Calibri"/>
                <w:sz w:val="20"/>
                <w:szCs w:val="20"/>
              </w:rPr>
              <w:t xml:space="preserve">Collection point location</w:t>
            </w:r>
          </w:p>
        </w:tc>
        <w:tc>
          <w:tcPr>
            <w:tcW w:type="dxa" w:w="5760"/>
            <w:tcMar>
              <w:top w:type="dxa" w:w="60"/>
              <w:left w:type="dxa" w:w="80"/>
              <w:bottom w:type="dxa" w:w="60"/>
              <w:right w:type="dxa" w:w="80"/>
            </w:tcMar>
          </w:tcPr>
          <w:p>
            <w:r>
              <w:rPr>
                <w:rFonts w:ascii="Calibri" w:cs="Calibri" w:eastAsia="Calibri" w:hAnsi="Calibri"/>
                <w:b/>
                <w:bCs/>
                <w:color w:val="C00000"/>
                <w:sz w:val="22"/>
                <w:szCs w:val="22"/>
              </w:rPr>
              <w:t xml:space="preserve">[Identify on layout plan - source PHAUS]</w:t>
            </w:r>
          </w:p>
        </w:tc>
      </w:tr>
      <w:tr>
        <w:tc>
          <w:tcPr>
            <w:tcW w:type="dxa" w:w="3600"/>
            <w:tcMar>
              <w:top w:type="dxa" w:w="60"/>
              <w:left w:type="dxa" w:w="80"/>
              <w:bottom w:type="dxa" w:w="60"/>
              <w:right w:type="dxa" w:w="80"/>
            </w:tcMar>
          </w:tcPr>
          <w:p>
            <w:r>
              <w:rPr>
                <w:rFonts w:ascii="Calibri" w:cs="Calibri" w:eastAsia="Calibri" w:hAnsi="Calibri"/>
                <w:sz w:val="20"/>
                <w:szCs w:val="20"/>
              </w:rPr>
              <w:t xml:space="preserve">Direct and level access to collection point?</w:t>
            </w:r>
          </w:p>
        </w:tc>
        <w:tc>
          <w:tcPr>
            <w:tcW w:type="dxa" w:w="5760"/>
            <w:tcMar>
              <w:top w:type="dxa" w:w="60"/>
              <w:left w:type="dxa" w:w="80"/>
              <w:bottom w:type="dxa" w:w="60"/>
              <w:right w:type="dxa" w:w="80"/>
            </w:tcMar>
          </w:tcPr>
          <w:p>
            <w:r>
              <w:rPr>
                <w:rFonts w:ascii="Calibri" w:cs="Calibri" w:eastAsia="Calibri" w:hAnsi="Calibri"/>
                <w:b/>
                <w:bCs/>
                <w:color w:val="C00000"/>
                <w:sz w:val="22"/>
                <w:szCs w:val="22"/>
              </w:rPr>
              <w:t xml:space="preserve">[CONFIRM: yes]</w:t>
            </w:r>
          </w:p>
        </w:tc>
      </w:tr>
      <w:tr>
        <w:tc>
          <w:tcPr>
            <w:tcW w:type="dxa" w:w="3600"/>
            <w:tcMar>
              <w:top w:type="dxa" w:w="60"/>
              <w:left w:type="dxa" w:w="80"/>
              <w:bottom w:type="dxa" w:w="60"/>
              <w:right w:type="dxa" w:w="80"/>
            </w:tcMar>
          </w:tcPr>
          <w:p>
            <w:r>
              <w:rPr>
                <w:rFonts w:ascii="Calibri" w:cs="Calibri" w:eastAsia="Calibri" w:hAnsi="Calibri"/>
                <w:sz w:val="20"/>
                <w:szCs w:val="20"/>
              </w:rPr>
              <w:t xml:space="preserve">Who will collect the waste?</w:t>
            </w:r>
          </w:p>
        </w:tc>
        <w:tc>
          <w:tcPr>
            <w:tcW w:type="dxa" w:w="5760"/>
            <w:tcMar>
              <w:top w:type="dxa" w:w="60"/>
              <w:left w:type="dxa" w:w="80"/>
              <w:bottom w:type="dxa" w:w="60"/>
              <w:right w:type="dxa" w:w="80"/>
            </w:tcMar>
          </w:tcPr>
          <w:p>
            <w:r>
              <w:rPr>
                <w:rFonts w:ascii="Calibri" w:cs="Calibri" w:eastAsia="Calibri" w:hAnsi="Calibri"/>
                <w:b/>
                <w:bCs/>
                <w:color w:val="C00000"/>
                <w:sz w:val="22"/>
                <w:szCs w:val="22"/>
              </w:rPr>
              <w:t xml:space="preserve">Licensed commercial waste carrier (not MCC domestic service); carrier to be appointed prior to opening - [name TBC]</w:t>
            </w:r>
          </w:p>
        </w:tc>
      </w:tr>
      <w:tr>
        <w:tc>
          <w:tcPr>
            <w:tcW w:type="dxa" w:w="3600"/>
            <w:tcMar>
              <w:top w:type="dxa" w:w="60"/>
              <w:left w:type="dxa" w:w="80"/>
              <w:bottom w:type="dxa" w:w="60"/>
              <w:right w:type="dxa" w:w="80"/>
            </w:tcMar>
          </w:tcPr>
          <w:p>
            <w:r>
              <w:rPr>
                <w:rFonts w:ascii="Calibri" w:cs="Calibri" w:eastAsia="Calibri" w:hAnsi="Calibri"/>
                <w:sz w:val="20"/>
                <w:szCs w:val="20"/>
              </w:rPr>
              <w:t xml:space="preserve">Collection frequency</w:t>
            </w:r>
          </w:p>
        </w:tc>
        <w:tc>
          <w:tcPr>
            <w:tcW w:type="dxa" w:w="5760"/>
            <w:tcMar>
              <w:top w:type="dxa" w:w="60"/>
              <w:left w:type="dxa" w:w="80"/>
              <w:bottom w:type="dxa" w:w="60"/>
              <w:right w:type="dxa" w:w="80"/>
            </w:tcMar>
          </w:tcPr>
          <w:p>
            <w:r>
              <w:rPr>
                <w:rFonts w:ascii="Calibri" w:cs="Calibri" w:eastAsia="Calibri" w:hAnsi="Calibri"/>
                <w:sz w:val="20"/>
                <w:szCs w:val="20"/>
              </w:rPr>
              <w:t xml:space="preserve">General, recycling and food waste: daily except Tuesday. Waste cooking oil: on demand.</w:t>
            </w:r>
          </w:p>
        </w:tc>
      </w:tr>
      <w:tr>
        <w:tc>
          <w:tcPr>
            <w:tcW w:type="dxa" w:w="3600"/>
            <w:tcMar>
              <w:top w:type="dxa" w:w="60"/>
              <w:left w:type="dxa" w:w="80"/>
              <w:bottom w:type="dxa" w:w="60"/>
              <w:right w:type="dxa" w:w="80"/>
            </w:tcMar>
          </w:tcPr>
          <w:p>
            <w:r>
              <w:rPr>
                <w:rFonts w:ascii="Calibri" w:cs="Calibri" w:eastAsia="Calibri" w:hAnsi="Calibri"/>
                <w:sz w:val="20"/>
                <w:szCs w:val="20"/>
              </w:rPr>
              <w:t xml:space="preserve">Does any door open over the public footway?</w:t>
            </w:r>
          </w:p>
        </w:tc>
        <w:tc>
          <w:tcPr>
            <w:tcW w:type="dxa" w:w="5760"/>
            <w:tcMar>
              <w:top w:type="dxa" w:w="60"/>
              <w:left w:type="dxa" w:w="80"/>
              <w:bottom w:type="dxa" w:w="60"/>
              <w:right w:type="dxa" w:w="80"/>
            </w:tcMar>
          </w:tcPr>
          <w:p>
            <w:r>
              <w:rPr>
                <w:rFonts w:ascii="Calibri" w:cs="Calibri" w:eastAsia="Calibri" w:hAnsi="Calibri"/>
                <w:sz w:val="20"/>
                <w:szCs w:val="20"/>
              </w:rPr>
              <w:t xml:space="preserve">No</w:t>
            </w:r>
          </w:p>
        </w:tc>
      </w:tr>
      <w:tr>
        <w:tc>
          <w:tcPr>
            <w:tcW w:type="dxa" w:w="3600"/>
            <w:tcMar>
              <w:top w:type="dxa" w:w="60"/>
              <w:left w:type="dxa" w:w="80"/>
              <w:bottom w:type="dxa" w:w="60"/>
              <w:right w:type="dxa" w:w="80"/>
            </w:tcMar>
          </w:tcPr>
          <w:p>
            <w:r>
              <w:rPr>
                <w:rFonts w:ascii="Calibri" w:cs="Calibri" w:eastAsia="Calibri" w:hAnsi="Calibri"/>
                <w:sz w:val="20"/>
                <w:szCs w:val="20"/>
              </w:rPr>
              <w:t xml:space="preserve">Provision for cardboard</w:t>
            </w:r>
          </w:p>
        </w:tc>
        <w:tc>
          <w:tcPr>
            <w:tcW w:type="dxa" w:w="5760"/>
            <w:tcMar>
              <w:top w:type="dxa" w:w="60"/>
              <w:left w:type="dxa" w:w="80"/>
              <w:bottom w:type="dxa" w:w="60"/>
              <w:right w:type="dxa" w:w="80"/>
            </w:tcMar>
          </w:tcPr>
          <w:p>
            <w:r>
              <w:rPr>
                <w:rFonts w:ascii="Calibri" w:cs="Calibri" w:eastAsia="Calibri" w:hAnsi="Calibri"/>
                <w:sz w:val="20"/>
                <w:szCs w:val="20"/>
              </w:rPr>
              <w:t xml:space="preserve">Flattened and placed in the mixed recycling stream</w:t>
            </w:r>
          </w:p>
        </w:tc>
      </w:tr>
      <w:tr>
        <w:tc>
          <w:tcPr>
            <w:tcW w:type="dxa" w:w="3600"/>
            <w:tcMar>
              <w:top w:type="dxa" w:w="60"/>
              <w:left w:type="dxa" w:w="80"/>
              <w:bottom w:type="dxa" w:w="60"/>
              <w:right w:type="dxa" w:w="80"/>
            </w:tcMar>
          </w:tcPr>
          <w:p>
            <w:r>
              <w:rPr>
                <w:rFonts w:ascii="Calibri" w:cs="Calibri" w:eastAsia="Calibri" w:hAnsi="Calibri"/>
                <w:sz w:val="20"/>
                <w:szCs w:val="20"/>
              </w:rPr>
              <w:t xml:space="preserve">Waste minimisation measures</w:t>
            </w:r>
          </w:p>
        </w:tc>
        <w:tc>
          <w:tcPr>
            <w:tcW w:type="dxa" w:w="5760"/>
            <w:tcMar>
              <w:top w:type="dxa" w:w="60"/>
              <w:left w:type="dxa" w:w="80"/>
              <w:bottom w:type="dxa" w:w="60"/>
              <w:right w:type="dxa" w:w="80"/>
            </w:tcMar>
          </w:tcPr>
          <w:p>
            <w:r>
              <w:rPr>
                <w:rFonts w:ascii="Calibri" w:cs="Calibri" w:eastAsia="Calibri" w:hAnsi="Calibri"/>
                <w:sz w:val="20"/>
                <w:szCs w:val="20"/>
              </w:rPr>
              <w:t xml:space="preserve">Source segregation, reduced supplier packaging, food waste diversion, WCO recycling, staff training</w:t>
            </w:r>
          </w:p>
        </w:tc>
      </w:tr>
    </w:tbl>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6"/>
      </w:pBdr>
    </w:pPr>
    <w:r>
      <w:rPr>
        <w:rFonts w:ascii="Calibri" w:cs="Calibri" w:eastAsia="Calibri" w:hAnsi="Calibri"/>
        <w:color w:val="595959"/>
        <w:sz w:val="16"/>
        <w:szCs w:val="16"/>
      </w:rPr>
      <w:t xml:space="preserve">Proloco, 74 Great Ancoats Street, Manchester M4 5GU</w:t>
    </w:r>
    <w:r>
      <w:rPr>
        <w:rFonts w:ascii="Calibri" w:cs="Calibri" w:eastAsia="Calibri" w:hAnsi="Calibri"/>
        <w:color w:val="595959"/>
        <w:sz w:val="16"/>
        <w:szCs w:val="16"/>
      </w:rPr>
      <w:t xml:space="preserve">          Page </w:t>
    </w:r>
    <w:r>
      <w:rPr>
        <w:rFonts w:ascii="Calibri" w:cs="Calibri" w:eastAsia="Calibri" w:hAnsi="Calibri"/>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2026-07-10T05:59:59.730Z</dcterms:created>
  <dcterms:modified xsi:type="dcterms:W3CDTF">2026-07-10T05:59:59.730Z</dcterms:modified>
</cp:coreProperties>
</file>

<file path=docProps/custom.xml><?xml version="1.0" encoding="utf-8"?>
<Properties xmlns="http://schemas.openxmlformats.org/officeDocument/2006/custom-properties" xmlns:vt="http://schemas.openxmlformats.org/officeDocument/2006/docPropsVTypes"/>
</file>