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0000"/>
          <w:spacing w:val="40"/>
          <w:sz w:val="24"/>
          <w:szCs w:val="24"/>
        </w:rPr>
        <w:t xml:space="preserve">PROLOCO</w:t>
      </w:r>
    </w:p>
    <w:p>
      <w:pPr>
        <w:spacing w:after="120"/>
      </w:pPr>
      <w:r>
        <w:rPr>
          <w:rFonts w:ascii="Calibri" w:cs="Calibri" w:eastAsia="Calibri" w:hAnsi="Calibri"/>
          <w:color w:val="595959"/>
          <w:sz w:val="18"/>
          <w:szCs w:val="18"/>
        </w:rPr>
        <w:t xml:space="preserve">The Wilco Test Ltd t/a Proloco</w:t>
      </w:r>
    </w:p>
    <w:p>
      <w:pPr>
        <w:pBdr>
          <w:bottom w:val="single" w:color="BFBFBF" w:sz="6" w:space="1"/>
        </w:pBdr>
        <w:spacing w:after="160"/>
      </w:pPr>
      <w:r>
        <w:t xml:space="preserve"/>
      </w:r>
    </w:p>
    <w:p>
      <w:pPr>
        <w:spacing w:after="40" w:before="120"/>
      </w:pPr>
      <w:r>
        <w:rPr>
          <w:rFonts w:ascii="Calibri" w:cs="Calibri" w:eastAsia="Calibri" w:hAnsi="Calibri"/>
          <w:b/>
          <w:bCs/>
          <w:color w:val="000000"/>
          <w:sz w:val="32"/>
          <w:szCs w:val="32"/>
        </w:rPr>
        <w:t xml:space="preserve">Waste Management Strategy</w:t>
      </w:r>
    </w:p>
    <w:p>
      <w:pPr>
        <w:spacing w:after="200"/>
      </w:pPr>
      <w:r>
        <w:rPr>
          <w:rFonts w:ascii="Calibri" w:cs="Calibri" w:eastAsia="Calibri" w:hAnsi="Calibri"/>
          <w:color w:val="595959"/>
          <w:sz w:val="20"/>
          <w:szCs w:val="20"/>
        </w:rPr>
        <w:t xml:space="preserve">Prepared in support of planning condition discharge (Condition 20 - Waste Management / Servicing)</w:t>
      </w:r>
    </w:p>
    <w:tbl>
      <w:tblPr>
        <w:tblW w:type="dxa" w:w="9360"/>
        <w:tblBorders>
          <w:top w:val="single" w:color="BFBFBF" w:sz="4"/>
          <w:left w:val="none"/>
          <w:bottom w:val="single" w:color="BFBFBF" w:sz="4"/>
          <w:right w:val="none"/>
          <w:insideH w:val="single" w:color="BFBFBF" w:sz="4"/>
          <w:insideV w:val="none"/>
        </w:tblBorders>
      </w:tblPr>
      <w:tblGrid>
        <w:gridCol w:w="2800"/>
        <w:gridCol w:w="6560"/>
      </w:tblGrid>
      <w:tr>
        <w:tc>
          <w:tcPr>
            <w:tcW w:type="dxa" w:w="2800"/>
            <w:tcMar>
              <w:top w:type="dxa" w:w="60"/>
              <w:left w:type="dxa" w:w="60"/>
              <w:bottom w:type="dxa" w:w="60"/>
              <w:right w:type="dxa" w:w="120"/>
            </w:tcMar>
          </w:tcPr>
          <w:p>
            <w:r>
              <w:rPr>
                <w:rFonts w:ascii="Calibri" w:cs="Calibri" w:eastAsia="Calibri" w:hAnsi="Calibri"/>
                <w:b/>
                <w:bCs/>
                <w:sz w:val="20"/>
                <w:szCs w:val="20"/>
              </w:rPr>
              <w:t xml:space="preserve">Premises</w:t>
            </w:r>
          </w:p>
        </w:tc>
        <w:tc>
          <w:tcPr>
            <w:tcW w:type="dxa" w:w="6560"/>
            <w:tcMar>
              <w:top w:type="dxa" w:w="60"/>
              <w:left w:type="dxa" w:w="60"/>
              <w:bottom w:type="dxa" w:w="60"/>
              <w:right w:type="dxa" w:w="60"/>
            </w:tcMar>
          </w:tcPr>
          <w:p>
            <w:r>
              <w:rPr>
                <w:rFonts w:ascii="Calibri" w:cs="Calibri" w:eastAsia="Calibri" w:hAnsi="Calibri"/>
                <w:sz w:val="20"/>
                <w:szCs w:val="20"/>
              </w:rPr>
              <w:t xml:space="preserve">Proloco, Unit 2, One Port Street, 74 Great Ancoats Street, Manchester M4 5GU</w:t>
            </w:r>
          </w:p>
        </w:tc>
      </w:tr>
      <w:tr>
        <w:tc>
          <w:tcPr>
            <w:tcW w:type="dxa" w:w="2800"/>
            <w:tcMar>
              <w:top w:type="dxa" w:w="60"/>
              <w:left w:type="dxa" w:w="60"/>
              <w:bottom w:type="dxa" w:w="60"/>
              <w:right w:type="dxa" w:w="120"/>
            </w:tcMar>
          </w:tcPr>
          <w:p>
            <w:r>
              <w:rPr>
                <w:rFonts w:ascii="Calibri" w:cs="Calibri" w:eastAsia="Calibri" w:hAnsi="Calibri"/>
                <w:b/>
                <w:bCs/>
                <w:sz w:val="20"/>
                <w:szCs w:val="20"/>
              </w:rPr>
              <w:t xml:space="preserve">Operator</w:t>
            </w:r>
          </w:p>
        </w:tc>
        <w:tc>
          <w:tcPr>
            <w:tcW w:type="dxa" w:w="6560"/>
            <w:tcMar>
              <w:top w:type="dxa" w:w="60"/>
              <w:left w:type="dxa" w:w="60"/>
              <w:bottom w:type="dxa" w:w="60"/>
              <w:right w:type="dxa" w:w="60"/>
            </w:tcMar>
          </w:tcPr>
          <w:p>
            <w:r>
              <w:rPr>
                <w:rFonts w:ascii="Calibri" w:cs="Calibri" w:eastAsia="Calibri" w:hAnsi="Calibri"/>
                <w:sz w:val="20"/>
                <w:szCs w:val="20"/>
              </w:rPr>
              <w:t xml:space="preserve">The Wilco Test Ltd t/a Proloco</w:t>
            </w:r>
          </w:p>
        </w:tc>
      </w:tr>
      <w:tr>
        <w:tc>
          <w:tcPr>
            <w:tcW w:type="dxa" w:w="2800"/>
            <w:tcMar>
              <w:top w:type="dxa" w:w="60"/>
              <w:left w:type="dxa" w:w="60"/>
              <w:bottom w:type="dxa" w:w="60"/>
              <w:right w:type="dxa" w:w="120"/>
            </w:tcMar>
          </w:tcPr>
          <w:p>
            <w:r>
              <w:rPr>
                <w:rFonts w:ascii="Calibri" w:cs="Calibri" w:eastAsia="Calibri" w:hAnsi="Calibri"/>
                <w:b/>
                <w:bCs/>
                <w:sz w:val="20"/>
                <w:szCs w:val="20"/>
              </w:rPr>
              <w:t xml:space="preserve">Use class</w:t>
            </w:r>
          </w:p>
        </w:tc>
        <w:tc>
          <w:tcPr>
            <w:tcW w:type="dxa" w:w="6560"/>
            <w:tcMar>
              <w:top w:type="dxa" w:w="60"/>
              <w:left w:type="dxa" w:w="60"/>
              <w:bottom w:type="dxa" w:w="60"/>
              <w:right w:type="dxa" w:w="60"/>
            </w:tcMar>
          </w:tcPr>
          <w:p>
            <w:r>
              <w:rPr>
                <w:rFonts w:ascii="Calibri" w:cs="Calibri" w:eastAsia="Calibri" w:hAnsi="Calibri"/>
                <w:sz w:val="20"/>
                <w:szCs w:val="20"/>
              </w:rPr>
              <w:t xml:space="preserve">Sui generis (restaurant with ancillary bar) - pizza, plates, natural wine and gelato, 72 covers</w:t>
            </w:r>
          </w:p>
        </w:tc>
      </w:tr>
      <w:tr>
        <w:tc>
          <w:tcPr>
            <w:tcW w:type="dxa" w:w="2800"/>
            <w:tcMar>
              <w:top w:type="dxa" w:w="60"/>
              <w:left w:type="dxa" w:w="60"/>
              <w:bottom w:type="dxa" w:w="60"/>
              <w:right w:type="dxa" w:w="120"/>
            </w:tcMar>
          </w:tcPr>
          <w:p>
            <w:r>
              <w:rPr>
                <w:rFonts w:ascii="Calibri" w:cs="Calibri" w:eastAsia="Calibri" w:hAnsi="Calibri"/>
                <w:b/>
                <w:bCs/>
                <w:sz w:val="20"/>
                <w:szCs w:val="20"/>
              </w:rPr>
              <w:t xml:space="preserve">Prepared for</w:t>
            </w:r>
          </w:p>
        </w:tc>
        <w:tc>
          <w:tcPr>
            <w:tcW w:type="dxa" w:w="6560"/>
            <w:tcMar>
              <w:top w:type="dxa" w:w="60"/>
              <w:left w:type="dxa" w:w="60"/>
              <w:bottom w:type="dxa" w:w="60"/>
              <w:right w:type="dxa" w:w="60"/>
            </w:tcMar>
          </w:tcPr>
          <w:p>
            <w:r>
              <w:rPr>
                <w:rFonts w:ascii="Calibri" w:cs="Calibri" w:eastAsia="Calibri" w:hAnsi="Calibri"/>
                <w:sz w:val="20"/>
                <w:szCs w:val="20"/>
              </w:rPr>
              <w:t xml:space="preserve">Manchester City Council, Planning, Building Control and Licensing</w:t>
            </w:r>
          </w:p>
        </w:tc>
      </w:tr>
      <w:tr>
        <w:tc>
          <w:tcPr>
            <w:tcW w:type="dxa" w:w="2800"/>
            <w:tcMar>
              <w:top w:type="dxa" w:w="60"/>
              <w:left w:type="dxa" w:w="60"/>
              <w:bottom w:type="dxa" w:w="60"/>
              <w:right w:type="dxa" w:w="120"/>
            </w:tcMar>
          </w:tcPr>
          <w:p>
            <w:r>
              <w:rPr>
                <w:rFonts w:ascii="Calibri" w:cs="Calibri" w:eastAsia="Calibri" w:hAnsi="Calibri"/>
                <w:b/>
                <w:bCs/>
                <w:sz w:val="20"/>
                <w:szCs w:val="20"/>
              </w:rPr>
              <w:t xml:space="preserve">Date</w:t>
            </w:r>
          </w:p>
        </w:tc>
        <w:tc>
          <w:tcPr>
            <w:tcW w:type="dxa" w:w="6560"/>
            <w:tcMar>
              <w:top w:type="dxa" w:w="60"/>
              <w:left w:type="dxa" w:w="60"/>
              <w:bottom w:type="dxa" w:w="60"/>
              <w:right w:type="dxa" w:w="60"/>
            </w:tcMar>
          </w:tcPr>
          <w:p>
            <w:r>
              <w:rPr>
                <w:rFonts w:ascii="Calibri" w:cs="Calibri" w:eastAsia="Calibri" w:hAnsi="Calibri"/>
                <w:sz w:val="20"/>
                <w:szCs w:val="20"/>
              </w:rPr>
              <w:t xml:space="preserve">July 2026</w:t>
            </w:r>
          </w:p>
        </w:tc>
      </w:tr>
      <w:tr>
        <w:tc>
          <w:tcPr>
            <w:tcW w:type="dxa" w:w="2800"/>
            <w:tcMar>
              <w:top w:type="dxa" w:w="60"/>
              <w:left w:type="dxa" w:w="60"/>
              <w:bottom w:type="dxa" w:w="60"/>
              <w:right w:type="dxa" w:w="120"/>
            </w:tcMar>
          </w:tcPr>
          <w:p>
            <w:r>
              <w:rPr>
                <w:rFonts w:ascii="Calibri" w:cs="Calibri" w:eastAsia="Calibri" w:hAnsi="Calibri"/>
                <w:b/>
                <w:bCs/>
                <w:sz w:val="20"/>
                <w:szCs w:val="20"/>
              </w:rPr>
              <w:t xml:space="preserve">Version</w:t>
            </w:r>
          </w:p>
        </w:tc>
        <w:tc>
          <w:tcPr>
            <w:tcW w:type="dxa" w:w="6560"/>
            <w:tcMar>
              <w:top w:type="dxa" w:w="60"/>
              <w:left w:type="dxa" w:w="60"/>
              <w:bottom w:type="dxa" w:w="60"/>
              <w:right w:type="dxa" w:w="60"/>
            </w:tcMar>
          </w:tcPr>
          <w:p>
            <w:r>
              <w:rPr>
                <w:rFonts w:ascii="Calibri" w:cs="Calibri" w:eastAsia="Calibri" w:hAnsi="Calibri"/>
                <w:sz w:val="20"/>
                <w:szCs w:val="20"/>
              </w:rPr>
              <w:t xml:space="preserve">1.0</w:t>
            </w:r>
          </w:p>
        </w:tc>
      </w:tr>
    </w:tbl>
    <w:p>
      <w:pPr>
        <w:pStyle w:val="Heading1"/>
        <w:spacing w:after="120" w:before="240"/>
      </w:pPr>
      <w:r>
        <w:rPr>
          <w:rFonts w:ascii="Calibri" w:cs="Calibri" w:eastAsia="Calibri" w:hAnsi="Calibri"/>
          <w:b/>
          <w:bCs/>
          <w:color w:val="000000"/>
          <w:sz w:val="28"/>
          <w:szCs w:val="28"/>
        </w:rPr>
        <w:t xml:space="preserve">1. Introduction and purpose</w:t>
      </w:r>
    </w:p>
    <w:p>
      <w:pPr>
        <w:spacing w:after="120" w:line="276"/>
      </w:pPr>
      <w:r>
        <w:rPr>
          <w:rFonts w:ascii="Calibri" w:cs="Calibri" w:eastAsia="Calibri" w:hAnsi="Calibri"/>
          <w:color w:val="000000"/>
          <w:sz w:val="22"/>
          <w:szCs w:val="22"/>
        </w:rPr>
        <w:t xml:space="preserve">This Waste Management Strategy is submitted in support of the discharge of the waste and servicing condition attached to the planning consent for Proloco at Unit 2, One Port Street. It sets out how commercial waste generated by the premises will be segregated, stored and collected, in accordance with Manchester City Council Core Strategy Policy EN19 and the Council's document GD04 Waste Storage and Collection Guidance for New Developments (v7, September 2023).</w:t>
      </w:r>
    </w:p>
    <w:p>
      <w:pPr>
        <w:spacing w:after="120" w:line="276"/>
      </w:pPr>
      <w:r>
        <w:rPr>
          <w:rFonts w:ascii="Calibri" w:cs="Calibri" w:eastAsia="Calibri" w:hAnsi="Calibri"/>
          <w:color w:val="000000"/>
          <w:sz w:val="22"/>
          <w:szCs w:val="22"/>
        </w:rPr>
        <w:t xml:space="preserve">Proloco is a 72-cover restaurant serving pizza, small plates, natural wine and gelato. As a commercial food and drink operator, the business has a statutory duty of care for the storage and lawful disposal of the waste it produces and will contract with a licensed waste carrier for all collections. No commercial waste will be placed in domestic, public or street litter bins.</w:t>
      </w:r>
    </w:p>
    <w:p>
      <w:pPr>
        <w:pStyle w:val="Heading1"/>
        <w:spacing w:after="120" w:before="240"/>
      </w:pPr>
      <w:r>
        <w:rPr>
          <w:rFonts w:ascii="Calibri" w:cs="Calibri" w:eastAsia="Calibri" w:hAnsi="Calibri"/>
          <w:b/>
          <w:bCs/>
          <w:color w:val="000000"/>
          <w:sz w:val="28"/>
          <w:szCs w:val="28"/>
        </w:rPr>
        <w:t xml:space="preserve">2. Waste streams generated</w:t>
      </w:r>
    </w:p>
    <w:p>
      <w:pPr>
        <w:spacing w:after="120" w:line="276"/>
      </w:pPr>
      <w:r>
        <w:rPr>
          <w:rFonts w:ascii="Calibri" w:cs="Calibri" w:eastAsia="Calibri" w:hAnsi="Calibri"/>
          <w:color w:val="000000"/>
          <w:sz w:val="22"/>
          <w:szCs w:val="22"/>
        </w:rPr>
        <w:t xml:space="preserve">The premises will generate the following principal waste streams, each of which will be segregated at source:</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600"/>
        <w:gridCol w:w="3600"/>
        <w:gridCol w:w="3160"/>
      </w:tblGrid>
      <w:tr>
        <w:trPr>
          <w:tblHeader/>
        </w:trPr>
        <w:tc>
          <w:tcPr>
            <w:tcW w:type="dxa" w:w="2600"/>
            <w:shd w:fill="F2F2F2" w:val="clear"/>
            <w:tcMar>
              <w:top w:type="dxa" w:w="60"/>
              <w:left w:type="dxa" w:w="80"/>
              <w:bottom w:type="dxa" w:w="60"/>
              <w:right w:type="dxa" w:w="80"/>
            </w:tcMar>
          </w:tcPr>
          <w:p>
            <w:r>
              <w:rPr>
                <w:rFonts w:ascii="Calibri" w:cs="Calibri" w:eastAsia="Calibri" w:hAnsi="Calibri"/>
                <w:b/>
                <w:bCs/>
                <w:sz w:val="20"/>
                <w:szCs w:val="20"/>
              </w:rPr>
              <w:t xml:space="preserve">Waste stream</w:t>
            </w:r>
          </w:p>
        </w:tc>
        <w:tc>
          <w:tcPr>
            <w:tcW w:type="dxa" w:w="3600"/>
            <w:shd w:fill="F2F2F2" w:val="clear"/>
            <w:tcMar>
              <w:top w:type="dxa" w:w="60"/>
              <w:left w:type="dxa" w:w="80"/>
              <w:bottom w:type="dxa" w:w="60"/>
              <w:right w:type="dxa" w:w="80"/>
            </w:tcMar>
          </w:tcPr>
          <w:p>
            <w:r>
              <w:rPr>
                <w:rFonts w:ascii="Calibri" w:cs="Calibri" w:eastAsia="Calibri" w:hAnsi="Calibri"/>
                <w:b/>
                <w:bCs/>
                <w:sz w:val="20"/>
                <w:szCs w:val="20"/>
              </w:rPr>
              <w:t xml:space="preserve">Source</w:t>
            </w:r>
          </w:p>
        </w:tc>
        <w:tc>
          <w:tcPr>
            <w:tcW w:type="dxa" w:w="3160"/>
            <w:shd w:fill="F2F2F2" w:val="clear"/>
            <w:tcMar>
              <w:top w:type="dxa" w:w="60"/>
              <w:left w:type="dxa" w:w="80"/>
              <w:bottom w:type="dxa" w:w="60"/>
              <w:right w:type="dxa" w:w="80"/>
            </w:tcMar>
          </w:tcPr>
          <w:p>
            <w:r>
              <w:rPr>
                <w:rFonts w:ascii="Calibri" w:cs="Calibri" w:eastAsia="Calibri" w:hAnsi="Calibri"/>
                <w:b/>
                <w:bCs/>
                <w:sz w:val="20"/>
                <w:szCs w:val="20"/>
              </w:rPr>
              <w:t xml:space="preserve">Segregation / handling</w:t>
            </w:r>
          </w:p>
        </w:tc>
      </w:tr>
      <w:tr>
        <w:tc>
          <w:tcPr>
            <w:tcW w:type="dxa" w:w="2600"/>
            <w:tcMar>
              <w:top w:type="dxa" w:w="60"/>
              <w:left w:type="dxa" w:w="80"/>
              <w:bottom w:type="dxa" w:w="60"/>
              <w:right w:type="dxa" w:w="80"/>
            </w:tcMar>
          </w:tcPr>
          <w:p>
            <w:r>
              <w:rPr>
                <w:rFonts w:ascii="Calibri" w:cs="Calibri" w:eastAsia="Calibri" w:hAnsi="Calibri"/>
                <w:sz w:val="20"/>
                <w:szCs w:val="20"/>
              </w:rPr>
              <w:t xml:space="preserve">General (residual) waste</w:t>
            </w:r>
          </w:p>
        </w:tc>
        <w:tc>
          <w:tcPr>
            <w:tcW w:type="dxa" w:w="3600"/>
            <w:tcMar>
              <w:top w:type="dxa" w:w="60"/>
              <w:left w:type="dxa" w:w="80"/>
              <w:bottom w:type="dxa" w:w="60"/>
              <w:right w:type="dxa" w:w="80"/>
            </w:tcMar>
          </w:tcPr>
          <w:p>
            <w:r>
              <w:rPr>
                <w:rFonts w:ascii="Calibri" w:cs="Calibri" w:eastAsia="Calibri" w:hAnsi="Calibri"/>
                <w:sz w:val="20"/>
                <w:szCs w:val="20"/>
              </w:rPr>
              <w:t xml:space="preserve">Non-recyclable operational waste</w:t>
            </w:r>
          </w:p>
        </w:tc>
        <w:tc>
          <w:tcPr>
            <w:tcW w:type="dxa" w:w="3160"/>
            <w:tcMar>
              <w:top w:type="dxa" w:w="60"/>
              <w:left w:type="dxa" w:w="80"/>
              <w:bottom w:type="dxa" w:w="60"/>
              <w:right w:type="dxa" w:w="80"/>
            </w:tcMar>
          </w:tcPr>
          <w:p>
            <w:r>
              <w:rPr>
                <w:rFonts w:ascii="Calibri" w:cs="Calibri" w:eastAsia="Calibri" w:hAnsi="Calibri"/>
                <w:sz w:val="20"/>
                <w:szCs w:val="20"/>
              </w:rPr>
              <w:t xml:space="preserve">General waste bin (internal store)</w:t>
            </w:r>
          </w:p>
        </w:tc>
      </w:tr>
      <w:tr>
        <w:tc>
          <w:tcPr>
            <w:tcW w:type="dxa" w:w="2600"/>
            <w:tcMar>
              <w:top w:type="dxa" w:w="60"/>
              <w:left w:type="dxa" w:w="80"/>
              <w:bottom w:type="dxa" w:w="60"/>
              <w:right w:type="dxa" w:w="80"/>
            </w:tcMar>
          </w:tcPr>
          <w:p>
            <w:r>
              <w:rPr>
                <w:rFonts w:ascii="Calibri" w:cs="Calibri" w:eastAsia="Calibri" w:hAnsi="Calibri"/>
                <w:sz w:val="20"/>
                <w:szCs w:val="20"/>
              </w:rPr>
              <w:t xml:space="preserve">Mixed dry recycling</w:t>
            </w:r>
          </w:p>
        </w:tc>
        <w:tc>
          <w:tcPr>
            <w:tcW w:type="dxa" w:w="3600"/>
            <w:tcMar>
              <w:top w:type="dxa" w:w="60"/>
              <w:left w:type="dxa" w:w="80"/>
              <w:bottom w:type="dxa" w:w="60"/>
              <w:right w:type="dxa" w:w="80"/>
            </w:tcMar>
          </w:tcPr>
          <w:p>
            <w:r>
              <w:rPr>
                <w:rFonts w:ascii="Calibri" w:cs="Calibri" w:eastAsia="Calibri" w:hAnsi="Calibri"/>
                <w:sz w:val="20"/>
                <w:szCs w:val="20"/>
              </w:rPr>
              <w:t xml:space="preserve">Card, paper, plastics, cans, glass</w:t>
            </w:r>
          </w:p>
        </w:tc>
        <w:tc>
          <w:tcPr>
            <w:tcW w:type="dxa" w:w="3160"/>
            <w:tcMar>
              <w:top w:type="dxa" w:w="60"/>
              <w:left w:type="dxa" w:w="80"/>
              <w:bottom w:type="dxa" w:w="60"/>
              <w:right w:type="dxa" w:w="80"/>
            </w:tcMar>
          </w:tcPr>
          <w:p>
            <w:r>
              <w:rPr>
                <w:rFonts w:ascii="Calibri" w:cs="Calibri" w:eastAsia="Calibri" w:hAnsi="Calibri"/>
                <w:sz w:val="20"/>
                <w:szCs w:val="20"/>
              </w:rPr>
              <w:t xml:space="preserve">Mixed recycling bin (internal store). Glass is co-mingled into the mixed recycling stream.</w:t>
            </w:r>
          </w:p>
        </w:tc>
      </w:tr>
      <w:tr>
        <w:tc>
          <w:tcPr>
            <w:tcW w:type="dxa" w:w="2600"/>
            <w:tcMar>
              <w:top w:type="dxa" w:w="60"/>
              <w:left w:type="dxa" w:w="80"/>
              <w:bottom w:type="dxa" w:w="60"/>
              <w:right w:type="dxa" w:w="80"/>
            </w:tcMar>
          </w:tcPr>
          <w:p>
            <w:r>
              <w:rPr>
                <w:rFonts w:ascii="Calibri" w:cs="Calibri" w:eastAsia="Calibri" w:hAnsi="Calibri"/>
                <w:sz w:val="20"/>
                <w:szCs w:val="20"/>
              </w:rPr>
              <w:t xml:space="preserve">Food waste</w:t>
            </w:r>
          </w:p>
        </w:tc>
        <w:tc>
          <w:tcPr>
            <w:tcW w:type="dxa" w:w="3600"/>
            <w:tcMar>
              <w:top w:type="dxa" w:w="60"/>
              <w:left w:type="dxa" w:w="80"/>
              <w:bottom w:type="dxa" w:w="60"/>
              <w:right w:type="dxa" w:w="80"/>
            </w:tcMar>
          </w:tcPr>
          <w:p>
            <w:r>
              <w:rPr>
                <w:rFonts w:ascii="Calibri" w:cs="Calibri" w:eastAsia="Calibri" w:hAnsi="Calibri"/>
                <w:sz w:val="20"/>
                <w:szCs w:val="20"/>
              </w:rPr>
              <w:t xml:space="preserve">Kitchen preparation and plate waste</w:t>
            </w:r>
          </w:p>
        </w:tc>
        <w:tc>
          <w:tcPr>
            <w:tcW w:type="dxa" w:w="3160"/>
            <w:tcMar>
              <w:top w:type="dxa" w:w="60"/>
              <w:left w:type="dxa" w:w="80"/>
              <w:bottom w:type="dxa" w:w="60"/>
              <w:right w:type="dxa" w:w="80"/>
            </w:tcMar>
          </w:tcPr>
          <w:p>
            <w:r>
              <w:rPr>
                <w:rFonts w:ascii="Calibri" w:cs="Calibri" w:eastAsia="Calibri" w:hAnsi="Calibri"/>
                <w:sz w:val="20"/>
                <w:szCs w:val="20"/>
              </w:rPr>
              <w:t xml:space="preserve">Sealed food waste bin (internal store)</w:t>
            </w:r>
          </w:p>
        </w:tc>
      </w:tr>
      <w:tr>
        <w:tc>
          <w:tcPr>
            <w:tcW w:type="dxa" w:w="2600"/>
            <w:tcMar>
              <w:top w:type="dxa" w:w="60"/>
              <w:left w:type="dxa" w:w="80"/>
              <w:bottom w:type="dxa" w:w="60"/>
              <w:right w:type="dxa" w:w="80"/>
            </w:tcMar>
          </w:tcPr>
          <w:p>
            <w:r>
              <w:rPr>
                <w:rFonts w:ascii="Calibri" w:cs="Calibri" w:eastAsia="Calibri" w:hAnsi="Calibri"/>
                <w:sz w:val="20"/>
                <w:szCs w:val="20"/>
              </w:rPr>
              <w:t xml:space="preserve">Cardboard</w:t>
            </w:r>
          </w:p>
        </w:tc>
        <w:tc>
          <w:tcPr>
            <w:tcW w:type="dxa" w:w="3600"/>
            <w:tcMar>
              <w:top w:type="dxa" w:w="60"/>
              <w:left w:type="dxa" w:w="80"/>
              <w:bottom w:type="dxa" w:w="60"/>
              <w:right w:type="dxa" w:w="80"/>
            </w:tcMar>
          </w:tcPr>
          <w:p>
            <w:r>
              <w:rPr>
                <w:rFonts w:ascii="Calibri" w:cs="Calibri" w:eastAsia="Calibri" w:hAnsi="Calibri"/>
                <w:sz w:val="20"/>
                <w:szCs w:val="20"/>
              </w:rPr>
              <w:t xml:space="preserve">Supplier deliveries and packaging</w:t>
            </w:r>
          </w:p>
        </w:tc>
        <w:tc>
          <w:tcPr>
            <w:tcW w:type="dxa" w:w="3160"/>
            <w:tcMar>
              <w:top w:type="dxa" w:w="60"/>
              <w:left w:type="dxa" w:w="80"/>
              <w:bottom w:type="dxa" w:w="60"/>
              <w:right w:type="dxa" w:w="80"/>
            </w:tcMar>
          </w:tcPr>
          <w:p>
            <w:r>
              <w:rPr>
                <w:rFonts w:ascii="Calibri" w:cs="Calibri" w:eastAsia="Calibri" w:hAnsi="Calibri"/>
                <w:sz w:val="20"/>
                <w:szCs w:val="20"/>
              </w:rPr>
              <w:t xml:space="preserve">Flattened and placed in the mixed recycling stream</w:t>
            </w:r>
          </w:p>
        </w:tc>
      </w:tr>
      <w:tr>
        <w:tc>
          <w:tcPr>
            <w:tcW w:type="dxa" w:w="2600"/>
            <w:tcMar>
              <w:top w:type="dxa" w:w="60"/>
              <w:left w:type="dxa" w:w="80"/>
              <w:bottom w:type="dxa" w:w="60"/>
              <w:right w:type="dxa" w:w="80"/>
            </w:tcMar>
          </w:tcPr>
          <w:p>
            <w:r>
              <w:rPr>
                <w:rFonts w:ascii="Calibri" w:cs="Calibri" w:eastAsia="Calibri" w:hAnsi="Calibri"/>
                <w:sz w:val="20"/>
                <w:szCs w:val="20"/>
              </w:rPr>
              <w:t xml:space="preserve">Waste cooking oil (WCO)</w:t>
            </w:r>
          </w:p>
        </w:tc>
        <w:tc>
          <w:tcPr>
            <w:tcW w:type="dxa" w:w="3600"/>
            <w:tcMar>
              <w:top w:type="dxa" w:w="60"/>
              <w:left w:type="dxa" w:w="80"/>
              <w:bottom w:type="dxa" w:w="60"/>
              <w:right w:type="dxa" w:w="80"/>
            </w:tcMar>
          </w:tcPr>
          <w:p>
            <w:r>
              <w:rPr>
                <w:rFonts w:ascii="Calibri" w:cs="Calibri" w:eastAsia="Calibri" w:hAnsi="Calibri"/>
                <w:sz w:val="20"/>
                <w:szCs w:val="20"/>
              </w:rPr>
              <w:t xml:space="preserve">Kitchen oil</w:t>
            </w:r>
          </w:p>
        </w:tc>
        <w:tc>
          <w:tcPr>
            <w:tcW w:type="dxa" w:w="3160"/>
            <w:tcMar>
              <w:top w:type="dxa" w:w="60"/>
              <w:left w:type="dxa" w:w="80"/>
              <w:bottom w:type="dxa" w:w="60"/>
              <w:right w:type="dxa" w:w="80"/>
            </w:tcMar>
          </w:tcPr>
          <w:p>
            <w:r>
              <w:rPr>
                <w:rFonts w:ascii="Calibri" w:cs="Calibri" w:eastAsia="Calibri" w:hAnsi="Calibri"/>
                <w:sz w:val="20"/>
                <w:szCs w:val="20"/>
              </w:rPr>
              <w:t xml:space="preserve">Collected separately by a licensed processor, stored in a dedicated sealed container. Collection compliant with duty of care.</w:t>
            </w:r>
          </w:p>
        </w:tc>
      </w:tr>
    </w:tbl>
    <w:p>
      <w:pPr>
        <w:spacing w:after="120" w:line="276"/>
      </w:pPr>
      <w:r>
        <w:rPr>
          <w:rFonts w:ascii="Calibri" w:cs="Calibri" w:eastAsia="Calibri" w:hAnsi="Calibri"/>
          <w:color w:val="000000"/>
          <w:sz w:val="22"/>
          <w:szCs w:val="22"/>
        </w:rPr>
        <w:t xml:space="preserve">Note: glass (a proportionally significant stream given the natural wine offer) is co-mingled into the mixed dry recycling stream and collected by the appointed carrier. Waste cooking oil is handled as a separate stream by a specialist licensed processor and is not placed in any of the internal bins.</w:t>
      </w:r>
    </w:p>
    <w:p>
      <w:pPr>
        <w:spacing w:after="120" w:line="276"/>
      </w:pPr>
      <w:r>
        <w:rPr>
          <w:rFonts w:ascii="Calibri" w:cs="Calibri" w:eastAsia="Calibri" w:hAnsi="Calibri"/>
          <w:color w:val="000000"/>
          <w:sz w:val="22"/>
          <w:szCs w:val="22"/>
        </w:rPr>
        <w:t xml:space="preserve">Grease management: high-specification grease traps are installed, sized appropriately to the premises, to prevent grease and oil from entering the drainage system. These are maintained, cleaned and emptied on a regular basis by a specialist contractor, with waste cooking oil stored separately in sealed, labelled containers for collection by a licensed processor.</w:t>
      </w:r>
    </w:p>
    <w:p>
      <w:pPr>
        <w:pStyle w:val="Heading1"/>
        <w:spacing w:after="120" w:before="240"/>
      </w:pPr>
      <w:r>
        <w:rPr>
          <w:rFonts w:ascii="Calibri" w:cs="Calibri" w:eastAsia="Calibri" w:hAnsi="Calibri"/>
          <w:b/>
          <w:bCs/>
          <w:color w:val="000000"/>
          <w:sz w:val="28"/>
          <w:szCs w:val="28"/>
        </w:rPr>
        <w:t xml:space="preserve">3. Storage location and capacity</w:t>
      </w:r>
    </w:p>
    <w:p>
      <w:pPr>
        <w:spacing w:after="120" w:line="276"/>
      </w:pPr>
      <w:r>
        <w:rPr>
          <w:rFonts w:ascii="Calibri" w:cs="Calibri" w:eastAsia="Calibri" w:hAnsi="Calibri"/>
          <w:color w:val="000000"/>
          <w:sz w:val="22"/>
          <w:szCs w:val="22"/>
        </w:rPr>
        <w:t xml:space="preserve">Waste containers are stored in a dedicated internal bin store within the premises. The store is fully ventilated and constructed with fire-retardant walls. Being internal, the storage area is not visible from the public highway and requires no external screening.</w:t>
      </w:r>
    </w:p>
    <w:p>
      <w:pPr>
        <w:spacing w:after="120" w:line="276"/>
      </w:pPr>
      <w:r>
        <w:rPr>
          <w:rFonts w:ascii="Calibri" w:cs="Calibri" w:eastAsia="Calibri" w:hAnsi="Calibri"/>
          <w:color w:val="000000"/>
          <w:sz w:val="22"/>
          <w:szCs w:val="22"/>
        </w:rPr>
        <w:t xml:space="preserve">The store holds three containers:</w:t>
      </w:r>
    </w:p>
    <w:p>
      <w:pPr>
        <w:pStyle w:val="ListParagraph"/>
        <w:numPr>
          <w:ilvl w:val="0"/>
          <w:numId w:val="2"/>
        </w:numPr>
        <w:spacing w:after="80" w:line="276"/>
      </w:pPr>
      <w:r>
        <w:rPr>
          <w:rFonts w:ascii="Calibri" w:cs="Calibri" w:eastAsia="Calibri" w:hAnsi="Calibri"/>
          <w:color w:val="000000"/>
          <w:sz w:val="22"/>
          <w:szCs w:val="22"/>
        </w:rPr>
        <w:t xml:space="preserve">General (residual) waste</w:t>
      </w:r>
    </w:p>
    <w:p>
      <w:pPr>
        <w:pStyle w:val="ListParagraph"/>
        <w:numPr>
          <w:ilvl w:val="0"/>
          <w:numId w:val="2"/>
        </w:numPr>
        <w:spacing w:after="80" w:line="276"/>
      </w:pPr>
      <w:r>
        <w:rPr>
          <w:rFonts w:ascii="Calibri" w:cs="Calibri" w:eastAsia="Calibri" w:hAnsi="Calibri"/>
          <w:color w:val="000000"/>
          <w:sz w:val="22"/>
          <w:szCs w:val="22"/>
        </w:rPr>
        <w:t xml:space="preserve">Mixed dry recycling (including co-mingled glass and cardboard)</w:t>
      </w:r>
    </w:p>
    <w:p>
      <w:pPr>
        <w:pStyle w:val="ListParagraph"/>
        <w:numPr>
          <w:ilvl w:val="0"/>
          <w:numId w:val="2"/>
        </w:numPr>
        <w:spacing w:after="80" w:line="276"/>
      </w:pPr>
      <w:r>
        <w:rPr>
          <w:rFonts w:ascii="Calibri" w:cs="Calibri" w:eastAsia="Calibri" w:hAnsi="Calibri"/>
          <w:color w:val="000000"/>
          <w:sz w:val="22"/>
          <w:szCs w:val="22"/>
        </w:rPr>
        <w:t xml:space="preserve">Food waste (sealed container)</w:t>
      </w:r>
    </w:p>
    <w:p>
      <w:pPr>
        <w:spacing w:after="120" w:line="276"/>
      </w:pPr>
      <w:r>
        <w:rPr>
          <w:rFonts w:ascii="Calibri" w:cs="Calibri" w:eastAsia="Calibri" w:hAnsi="Calibri"/>
          <w:color w:val="000000"/>
          <w:sz w:val="22"/>
          <w:szCs w:val="22"/>
        </w:rPr>
        <w:t xml:space="preserve">In addition, waste cooking oil is held in a dedicated sealed container for separate collection by a licensed processor.</w:t>
      </w:r>
    </w:p>
    <w:p>
      <w:pPr>
        <w:spacing w:after="120" w:line="276"/>
      </w:pPr>
      <w:r>
        <w:rPr>
          <w:rFonts w:ascii="Calibri" w:cs="Calibri" w:eastAsia="Calibri" w:hAnsi="Calibri"/>
          <w:color w:val="000000"/>
          <w:sz w:val="22"/>
          <w:szCs w:val="22"/>
        </w:rPr>
        <w:t xml:space="preserve">The storage area meets the requirements of GD04 in the following respects:</w:t>
      </w:r>
    </w:p>
    <w:p>
      <w:pPr>
        <w:pStyle w:val="ListParagraph"/>
        <w:numPr>
          <w:ilvl w:val="0"/>
          <w:numId w:val="2"/>
        </w:numPr>
        <w:spacing w:after="80" w:line="276"/>
      </w:pPr>
      <w:r>
        <w:rPr>
          <w:rFonts w:ascii="Calibri" w:cs="Calibri" w:eastAsia="Calibri" w:hAnsi="Calibri"/>
          <w:color w:val="000000"/>
          <w:sz w:val="22"/>
          <w:szCs w:val="22"/>
        </w:rPr>
        <w:t xml:space="preserve">The floor is a hard, impervious surface that can be readily cleaned and washed down.</w:t>
      </w:r>
    </w:p>
    <w:p>
      <w:pPr>
        <w:pStyle w:val="ListParagraph"/>
        <w:numPr>
          <w:ilvl w:val="0"/>
          <w:numId w:val="2"/>
        </w:numPr>
        <w:spacing w:after="80" w:line="276"/>
      </w:pPr>
      <w:r>
        <w:rPr>
          <w:rFonts w:ascii="Calibri" w:cs="Calibri" w:eastAsia="Calibri" w:hAnsi="Calibri"/>
          <w:color w:val="000000"/>
          <w:sz w:val="22"/>
          <w:szCs w:val="22"/>
        </w:rPr>
        <w:t xml:space="preserve">The store is fully ventilated.</w:t>
      </w:r>
    </w:p>
    <w:p>
      <w:pPr>
        <w:pStyle w:val="ListParagraph"/>
        <w:numPr>
          <w:ilvl w:val="0"/>
          <w:numId w:val="2"/>
        </w:numPr>
        <w:spacing w:after="80" w:line="276"/>
      </w:pPr>
      <w:r>
        <w:rPr>
          <w:rFonts w:ascii="Calibri" w:cs="Calibri" w:eastAsia="Calibri" w:hAnsi="Calibri"/>
          <w:color w:val="000000"/>
          <w:sz w:val="22"/>
          <w:szCs w:val="22"/>
        </w:rPr>
        <w:t xml:space="preserve">The walls are of fire-retardant construction.</w:t>
      </w:r>
    </w:p>
    <w:p>
      <w:pPr>
        <w:pStyle w:val="ListParagraph"/>
        <w:numPr>
          <w:ilvl w:val="0"/>
          <w:numId w:val="2"/>
        </w:numPr>
        <w:spacing w:after="80" w:line="276"/>
      </w:pPr>
      <w:r>
        <w:rPr>
          <w:rFonts w:ascii="Calibri" w:cs="Calibri" w:eastAsia="Calibri" w:hAnsi="Calibri"/>
          <w:color w:val="000000"/>
          <w:sz w:val="22"/>
          <w:szCs w:val="22"/>
        </w:rPr>
        <w:t xml:space="preserve">The area has adequate lighting to allow safe access at all operating hours.</w:t>
      </w:r>
    </w:p>
    <w:p>
      <w:pPr>
        <w:pStyle w:val="ListParagraph"/>
        <w:numPr>
          <w:ilvl w:val="0"/>
          <w:numId w:val="2"/>
        </w:numPr>
        <w:spacing w:after="80" w:line="276"/>
      </w:pPr>
      <w:r>
        <w:rPr>
          <w:rFonts w:ascii="Calibri" w:cs="Calibri" w:eastAsia="Calibri" w:hAnsi="Calibri"/>
          <w:color w:val="000000"/>
          <w:sz w:val="22"/>
          <w:szCs w:val="22"/>
        </w:rPr>
        <w:t xml:space="preserve">Containers are stored internally and do not obstruct any public footway or highway.</w:t>
      </w:r>
    </w:p>
    <w:p>
      <w:pPr>
        <w:spacing w:after="120" w:line="276"/>
      </w:pPr>
      <w:r>
        <w:rPr>
          <w:rFonts w:ascii="Calibri" w:cs="Calibri" w:eastAsia="Calibri" w:hAnsi="Calibri"/>
          <w:b/>
          <w:bCs/>
          <w:color w:val="000000"/>
          <w:sz w:val="22"/>
          <w:szCs w:val="22"/>
        </w:rPr>
        <w:t xml:space="preserve">Container schedule </w:t>
      </w:r>
      <w:r>
        <w:rPr>
          <w:rFonts w:ascii="Calibri" w:cs="Calibri" w:eastAsia="Calibri" w:hAnsi="Calibri"/>
          <w:color w:val="000000"/>
          <w:sz w:val="22"/>
          <w:szCs w:val="22"/>
        </w:rPr>
        <w:t xml:space="preserve">(sizes to be finalised with the appointed carrier):</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600"/>
        <w:gridCol w:w="2200"/>
        <w:gridCol w:w="900"/>
        <w:gridCol w:w="3660"/>
      </w:tblGrid>
      <w:tr>
        <w:trPr>
          <w:tblHeader/>
        </w:trPr>
        <w:tc>
          <w:tcPr>
            <w:tcW w:type="dxa" w:w="2600"/>
            <w:shd w:fill="F2F2F2" w:val="clear"/>
            <w:tcMar>
              <w:top w:type="dxa" w:w="60"/>
              <w:left w:type="dxa" w:w="80"/>
              <w:bottom w:type="dxa" w:w="60"/>
              <w:right w:type="dxa" w:w="80"/>
            </w:tcMar>
          </w:tcPr>
          <w:p>
            <w:r>
              <w:rPr>
                <w:rFonts w:ascii="Calibri" w:cs="Calibri" w:eastAsia="Calibri" w:hAnsi="Calibri"/>
                <w:b/>
                <w:bCs/>
                <w:sz w:val="20"/>
                <w:szCs w:val="20"/>
              </w:rPr>
              <w:t xml:space="preserve">Stream</w:t>
            </w:r>
          </w:p>
        </w:tc>
        <w:tc>
          <w:tcPr>
            <w:tcW w:type="dxa" w:w="2200"/>
            <w:shd w:fill="F2F2F2" w:val="clear"/>
            <w:tcMar>
              <w:top w:type="dxa" w:w="60"/>
              <w:left w:type="dxa" w:w="80"/>
              <w:bottom w:type="dxa" w:w="60"/>
              <w:right w:type="dxa" w:w="80"/>
            </w:tcMar>
          </w:tcPr>
          <w:p>
            <w:r>
              <w:rPr>
                <w:rFonts w:ascii="Calibri" w:cs="Calibri" w:eastAsia="Calibri" w:hAnsi="Calibri"/>
                <w:b/>
                <w:bCs/>
                <w:sz w:val="20"/>
                <w:szCs w:val="20"/>
              </w:rPr>
              <w:t xml:space="preserve">Container size</w:t>
            </w:r>
          </w:p>
        </w:tc>
        <w:tc>
          <w:tcPr>
            <w:tcW w:type="dxa" w:w="900"/>
            <w:shd w:fill="F2F2F2" w:val="clear"/>
            <w:tcMar>
              <w:top w:type="dxa" w:w="60"/>
              <w:left w:type="dxa" w:w="80"/>
              <w:bottom w:type="dxa" w:w="60"/>
              <w:right w:type="dxa" w:w="80"/>
            </w:tcMar>
          </w:tcPr>
          <w:p>
            <w:r>
              <w:rPr>
                <w:rFonts w:ascii="Calibri" w:cs="Calibri" w:eastAsia="Calibri" w:hAnsi="Calibri"/>
                <w:b/>
                <w:bCs/>
                <w:sz w:val="20"/>
                <w:szCs w:val="20"/>
              </w:rPr>
              <w:t xml:space="preserve">No.</w:t>
            </w:r>
          </w:p>
        </w:tc>
        <w:tc>
          <w:tcPr>
            <w:tcW w:type="dxa" w:w="3660"/>
            <w:shd w:fill="F2F2F2" w:val="clear"/>
            <w:tcMar>
              <w:top w:type="dxa" w:w="60"/>
              <w:left w:type="dxa" w:w="80"/>
              <w:bottom w:type="dxa" w:w="60"/>
              <w:right w:type="dxa" w:w="80"/>
            </w:tcMar>
          </w:tcPr>
          <w:p>
            <w:r>
              <w:rPr>
                <w:rFonts w:ascii="Calibri" w:cs="Calibri" w:eastAsia="Calibri" w:hAnsi="Calibri"/>
                <w:b/>
                <w:bCs/>
                <w:sz w:val="20"/>
                <w:szCs w:val="20"/>
              </w:rPr>
              <w:t xml:space="preserve">Collection frequency</w:t>
            </w:r>
          </w:p>
        </w:tc>
      </w:tr>
      <w:tr>
        <w:tc>
          <w:tcPr>
            <w:tcW w:type="dxa" w:w="2600"/>
            <w:tcMar>
              <w:top w:type="dxa" w:w="60"/>
              <w:left w:type="dxa" w:w="80"/>
              <w:bottom w:type="dxa" w:w="60"/>
              <w:right w:type="dxa" w:w="80"/>
            </w:tcMar>
          </w:tcPr>
          <w:p>
            <w:r>
              <w:rPr>
                <w:rFonts w:ascii="Calibri" w:cs="Calibri" w:eastAsia="Calibri" w:hAnsi="Calibri"/>
                <w:sz w:val="20"/>
                <w:szCs w:val="20"/>
              </w:rPr>
              <w:t xml:space="preserve">General waste</w:t>
            </w:r>
          </w:p>
        </w:tc>
        <w:tc>
          <w:tcPr>
            <w:tcW w:type="dxa" w:w="2200"/>
            <w:tcMar>
              <w:top w:type="dxa" w:w="60"/>
              <w:left w:type="dxa" w:w="80"/>
              <w:bottom w:type="dxa" w:w="60"/>
              <w:right w:type="dxa" w:w="80"/>
            </w:tcMar>
          </w:tcPr>
          <w:p>
            <w:r>
              <w:rPr>
                <w:rFonts w:ascii="Calibri" w:cs="Calibri" w:eastAsia="Calibri" w:hAnsi="Calibri"/>
                <w:b/>
                <w:bCs/>
                <w:color w:val="C00000"/>
                <w:sz w:val="22"/>
                <w:szCs w:val="22"/>
              </w:rPr>
              <w:t xml:space="preserve">[size TBC with carrier]</w:t>
            </w:r>
          </w:p>
        </w:tc>
        <w:tc>
          <w:tcPr>
            <w:tcW w:type="dxa" w:w="900"/>
            <w:tcMar>
              <w:top w:type="dxa" w:w="60"/>
              <w:left w:type="dxa" w:w="80"/>
              <w:bottom w:type="dxa" w:w="60"/>
              <w:right w:type="dxa" w:w="80"/>
            </w:tcMar>
          </w:tcPr>
          <w:p>
            <w:r>
              <w:rPr>
                <w:rFonts w:ascii="Calibri" w:cs="Calibri" w:eastAsia="Calibri" w:hAnsi="Calibri"/>
                <w:sz w:val="20"/>
                <w:szCs w:val="20"/>
              </w:rPr>
              <w:t xml:space="preserve">1</w:t>
            </w:r>
          </w:p>
        </w:tc>
        <w:tc>
          <w:tcPr>
            <w:tcW w:type="dxa" w:w="3660"/>
            <w:tcMar>
              <w:top w:type="dxa" w:w="60"/>
              <w:left w:type="dxa" w:w="80"/>
              <w:bottom w:type="dxa" w:w="60"/>
              <w:right w:type="dxa" w:w="80"/>
            </w:tcMar>
          </w:tcPr>
          <w:p>
            <w:r>
              <w:rPr>
                <w:rFonts w:ascii="Calibri" w:cs="Calibri" w:eastAsia="Calibri" w:hAnsi="Calibri"/>
                <w:sz w:val="20"/>
                <w:szCs w:val="20"/>
              </w:rPr>
              <w:t xml:space="preserve">Daily except Tuesday</w:t>
            </w:r>
          </w:p>
        </w:tc>
      </w:tr>
      <w:tr>
        <w:tc>
          <w:tcPr>
            <w:tcW w:type="dxa" w:w="2600"/>
            <w:tcMar>
              <w:top w:type="dxa" w:w="60"/>
              <w:left w:type="dxa" w:w="80"/>
              <w:bottom w:type="dxa" w:w="60"/>
              <w:right w:type="dxa" w:w="80"/>
            </w:tcMar>
          </w:tcPr>
          <w:p>
            <w:r>
              <w:rPr>
                <w:rFonts w:ascii="Calibri" w:cs="Calibri" w:eastAsia="Calibri" w:hAnsi="Calibri"/>
                <w:sz w:val="20"/>
                <w:szCs w:val="20"/>
              </w:rPr>
              <w:t xml:space="preserve">Mixed recycling (incl. glass, cardboard)</w:t>
            </w:r>
          </w:p>
        </w:tc>
        <w:tc>
          <w:tcPr>
            <w:tcW w:type="dxa" w:w="2200"/>
            <w:tcMar>
              <w:top w:type="dxa" w:w="60"/>
              <w:left w:type="dxa" w:w="80"/>
              <w:bottom w:type="dxa" w:w="60"/>
              <w:right w:type="dxa" w:w="80"/>
            </w:tcMar>
          </w:tcPr>
          <w:p>
            <w:r>
              <w:rPr>
                <w:rFonts w:ascii="Calibri" w:cs="Calibri" w:eastAsia="Calibri" w:hAnsi="Calibri"/>
                <w:b/>
                <w:bCs/>
                <w:color w:val="C00000"/>
                <w:sz w:val="22"/>
                <w:szCs w:val="22"/>
              </w:rPr>
              <w:t xml:space="preserve">[size TBC with carrier]</w:t>
            </w:r>
          </w:p>
        </w:tc>
        <w:tc>
          <w:tcPr>
            <w:tcW w:type="dxa" w:w="900"/>
            <w:tcMar>
              <w:top w:type="dxa" w:w="60"/>
              <w:left w:type="dxa" w:w="80"/>
              <w:bottom w:type="dxa" w:w="60"/>
              <w:right w:type="dxa" w:w="80"/>
            </w:tcMar>
          </w:tcPr>
          <w:p>
            <w:r>
              <w:rPr>
                <w:rFonts w:ascii="Calibri" w:cs="Calibri" w:eastAsia="Calibri" w:hAnsi="Calibri"/>
                <w:sz w:val="20"/>
                <w:szCs w:val="20"/>
              </w:rPr>
              <w:t xml:space="preserve">1</w:t>
            </w:r>
          </w:p>
        </w:tc>
        <w:tc>
          <w:tcPr>
            <w:tcW w:type="dxa" w:w="3660"/>
            <w:tcMar>
              <w:top w:type="dxa" w:w="60"/>
              <w:left w:type="dxa" w:w="80"/>
              <w:bottom w:type="dxa" w:w="60"/>
              <w:right w:type="dxa" w:w="80"/>
            </w:tcMar>
          </w:tcPr>
          <w:p>
            <w:r>
              <w:rPr>
                <w:rFonts w:ascii="Calibri" w:cs="Calibri" w:eastAsia="Calibri" w:hAnsi="Calibri"/>
                <w:sz w:val="20"/>
                <w:szCs w:val="20"/>
              </w:rPr>
              <w:t xml:space="preserve">Daily except Tuesday</w:t>
            </w:r>
          </w:p>
        </w:tc>
      </w:tr>
      <w:tr>
        <w:tc>
          <w:tcPr>
            <w:tcW w:type="dxa" w:w="2600"/>
            <w:tcMar>
              <w:top w:type="dxa" w:w="60"/>
              <w:left w:type="dxa" w:w="80"/>
              <w:bottom w:type="dxa" w:w="60"/>
              <w:right w:type="dxa" w:w="80"/>
            </w:tcMar>
          </w:tcPr>
          <w:p>
            <w:r>
              <w:rPr>
                <w:rFonts w:ascii="Calibri" w:cs="Calibri" w:eastAsia="Calibri" w:hAnsi="Calibri"/>
                <w:sz w:val="20"/>
                <w:szCs w:val="20"/>
              </w:rPr>
              <w:t xml:space="preserve">Food waste</w:t>
            </w:r>
          </w:p>
        </w:tc>
        <w:tc>
          <w:tcPr>
            <w:tcW w:type="dxa" w:w="2200"/>
            <w:tcMar>
              <w:top w:type="dxa" w:w="60"/>
              <w:left w:type="dxa" w:w="80"/>
              <w:bottom w:type="dxa" w:w="60"/>
              <w:right w:type="dxa" w:w="80"/>
            </w:tcMar>
          </w:tcPr>
          <w:p>
            <w:r>
              <w:rPr>
                <w:rFonts w:ascii="Calibri" w:cs="Calibri" w:eastAsia="Calibri" w:hAnsi="Calibri"/>
                <w:b/>
                <w:bCs/>
                <w:color w:val="C00000"/>
                <w:sz w:val="22"/>
                <w:szCs w:val="22"/>
              </w:rPr>
              <w:t xml:space="preserve">[size TBC with carrier]</w:t>
            </w:r>
          </w:p>
        </w:tc>
        <w:tc>
          <w:tcPr>
            <w:tcW w:type="dxa" w:w="900"/>
            <w:tcMar>
              <w:top w:type="dxa" w:w="60"/>
              <w:left w:type="dxa" w:w="80"/>
              <w:bottom w:type="dxa" w:w="60"/>
              <w:right w:type="dxa" w:w="80"/>
            </w:tcMar>
          </w:tcPr>
          <w:p>
            <w:r>
              <w:rPr>
                <w:rFonts w:ascii="Calibri" w:cs="Calibri" w:eastAsia="Calibri" w:hAnsi="Calibri"/>
                <w:sz w:val="20"/>
                <w:szCs w:val="20"/>
              </w:rPr>
              <w:t xml:space="preserve">1</w:t>
            </w:r>
          </w:p>
        </w:tc>
        <w:tc>
          <w:tcPr>
            <w:tcW w:type="dxa" w:w="3660"/>
            <w:tcMar>
              <w:top w:type="dxa" w:w="60"/>
              <w:left w:type="dxa" w:w="80"/>
              <w:bottom w:type="dxa" w:w="60"/>
              <w:right w:type="dxa" w:w="80"/>
            </w:tcMar>
          </w:tcPr>
          <w:p>
            <w:r>
              <w:rPr>
                <w:rFonts w:ascii="Calibri" w:cs="Calibri" w:eastAsia="Calibri" w:hAnsi="Calibri"/>
                <w:sz w:val="20"/>
                <w:szCs w:val="20"/>
              </w:rPr>
              <w:t xml:space="preserve">Daily except Tuesday</w:t>
            </w:r>
          </w:p>
        </w:tc>
      </w:tr>
      <w:tr>
        <w:tc>
          <w:tcPr>
            <w:tcW w:type="dxa" w:w="2600"/>
            <w:tcMar>
              <w:top w:type="dxa" w:w="60"/>
              <w:left w:type="dxa" w:w="80"/>
              <w:bottom w:type="dxa" w:w="60"/>
              <w:right w:type="dxa" w:w="80"/>
            </w:tcMar>
          </w:tcPr>
          <w:p>
            <w:r>
              <w:rPr>
                <w:rFonts w:ascii="Calibri" w:cs="Calibri" w:eastAsia="Calibri" w:hAnsi="Calibri"/>
                <w:sz w:val="20"/>
                <w:szCs w:val="20"/>
              </w:rPr>
              <w:t xml:space="preserve">Waste cooking oil</w:t>
            </w:r>
          </w:p>
        </w:tc>
        <w:tc>
          <w:tcPr>
            <w:tcW w:type="dxa" w:w="2200"/>
            <w:tcMar>
              <w:top w:type="dxa" w:w="60"/>
              <w:left w:type="dxa" w:w="80"/>
              <w:bottom w:type="dxa" w:w="60"/>
              <w:right w:type="dxa" w:w="80"/>
            </w:tcMar>
          </w:tcPr>
          <w:p>
            <w:r>
              <w:rPr>
                <w:rFonts w:ascii="Calibri" w:cs="Calibri" w:eastAsia="Calibri" w:hAnsi="Calibri"/>
                <w:sz w:val="20"/>
                <w:szCs w:val="20"/>
              </w:rPr>
              <w:t xml:space="preserve">Sealed drum</w:t>
            </w:r>
          </w:p>
        </w:tc>
        <w:tc>
          <w:tcPr>
            <w:tcW w:type="dxa" w:w="900"/>
            <w:tcMar>
              <w:top w:type="dxa" w:w="60"/>
              <w:left w:type="dxa" w:w="80"/>
              <w:bottom w:type="dxa" w:w="60"/>
              <w:right w:type="dxa" w:w="80"/>
            </w:tcMar>
          </w:tcPr>
          <w:p>
            <w:r>
              <w:rPr>
                <w:rFonts w:ascii="Calibri" w:cs="Calibri" w:eastAsia="Calibri" w:hAnsi="Calibri"/>
                <w:sz w:val="20"/>
                <w:szCs w:val="20"/>
              </w:rPr>
              <w:t xml:space="preserve">1</w:t>
            </w:r>
          </w:p>
        </w:tc>
        <w:tc>
          <w:tcPr>
            <w:tcW w:type="dxa" w:w="3660"/>
            <w:tcMar>
              <w:top w:type="dxa" w:w="60"/>
              <w:left w:type="dxa" w:w="80"/>
              <w:bottom w:type="dxa" w:w="60"/>
              <w:right w:type="dxa" w:w="80"/>
            </w:tcMar>
          </w:tcPr>
          <w:p>
            <w:r>
              <w:rPr>
                <w:rFonts w:ascii="Calibri" w:cs="Calibri" w:eastAsia="Calibri" w:hAnsi="Calibri"/>
                <w:sz w:val="20"/>
                <w:szCs w:val="20"/>
              </w:rPr>
              <w:t xml:space="preserve">On demand (licensed processor)</w:t>
            </w:r>
          </w:p>
        </w:tc>
      </w:tr>
    </w:tbl>
    <w:p>
      <w:pPr>
        <w:spacing w:after="120" w:line="276"/>
      </w:pPr>
      <w:r>
        <w:rPr>
          <w:rFonts w:ascii="Calibri" w:cs="Calibri" w:eastAsia="Calibri" w:hAnsi="Calibri"/>
          <w:b/>
          <w:bCs/>
          <w:color w:val="000000"/>
          <w:sz w:val="22"/>
          <w:szCs w:val="22"/>
        </w:rPr>
        <w:t xml:space="preserve">Layout plan: </w:t>
      </w:r>
      <w:r>
        <w:rPr>
          <w:rFonts w:ascii="Calibri" w:cs="Calibri" w:eastAsia="Calibri" w:hAnsi="Calibri"/>
          <w:b/>
          <w:bCs/>
          <w:color w:val="C00000"/>
          <w:sz w:val="22"/>
          <w:szCs w:val="22"/>
        </w:rPr>
        <w:t xml:space="preserve">A scaled layout plan / drawing identifying the internal bin store location and the collection presentation point is to be appended to this strategy (to be provided by PHAUS). See Appendix A.</w:t>
      </w:r>
    </w:p>
    <w:p>
      <w:pPr>
        <w:pStyle w:val="Heading1"/>
        <w:spacing w:after="120" w:before="240"/>
      </w:pPr>
      <w:r>
        <w:rPr>
          <w:rFonts w:ascii="Calibri" w:cs="Calibri" w:eastAsia="Calibri" w:hAnsi="Calibri"/>
          <w:b/>
          <w:bCs/>
          <w:color w:val="000000"/>
          <w:sz w:val="28"/>
          <w:szCs w:val="28"/>
        </w:rPr>
        <w:t xml:space="preserve">4. Collection arrangements</w:t>
      </w:r>
    </w:p>
    <w:p>
      <w:pPr>
        <w:spacing w:after="120" w:line="276"/>
      </w:pPr>
      <w:r>
        <w:rPr>
          <w:rFonts w:ascii="Calibri" w:cs="Calibri" w:eastAsia="Calibri" w:hAnsi="Calibri"/>
          <w:color w:val="000000"/>
          <w:sz w:val="22"/>
          <w:szCs w:val="22"/>
        </w:rPr>
        <w:t xml:space="preserve">As a commercial operator, Proloco will not use the Council's domestic collection service. All waste will be collected by a licensed commercial waste carrier under a duty-of-care contract. The carrier will be appointed prior to opening; </w:t>
      </w:r>
      <w:r>
        <w:rPr>
          <w:rFonts w:ascii="Calibri" w:cs="Calibri" w:eastAsia="Calibri" w:hAnsi="Calibri"/>
          <w:b/>
          <w:bCs/>
          <w:color w:val="C00000"/>
          <w:sz w:val="22"/>
          <w:szCs w:val="22"/>
        </w:rPr>
        <w:t xml:space="preserve">[carrier name to be confirmed on appointment]</w:t>
      </w:r>
      <w:r>
        <w:rPr>
          <w:rFonts w:ascii="Calibri" w:cs="Calibri" w:eastAsia="Calibri" w:hAnsi="Calibri"/>
          <w:color w:val="000000"/>
          <w:sz w:val="22"/>
          <w:szCs w:val="22"/>
        </w:rPr>
        <w:t xml:space="preserve">.</w:t>
      </w:r>
    </w:p>
    <w:p>
      <w:pPr>
        <w:spacing w:after="120" w:line="276"/>
      </w:pPr>
      <w:r>
        <w:rPr>
          <w:rFonts w:ascii="Calibri" w:cs="Calibri" w:eastAsia="Calibri" w:hAnsi="Calibri"/>
          <w:color w:val="000000"/>
          <w:sz w:val="22"/>
          <w:szCs w:val="22"/>
        </w:rPr>
        <w:t xml:space="preserve">General waste, mixed recycling and food waste will be collected daily, with the exception of Tuesday (a non-trading day). Waste cooking oil will be collected on demand by a specialist licensed processor, to be appointed prior to opening. Collections will be scheduled to respect the amenity of the wider One Port Street development. Waste is presented from the internal store to the collection point and bins are returned to the store promptly after collection; nothing is left on the public highway.</w:t>
      </w:r>
    </w:p>
    <w:p>
      <w:pPr>
        <w:spacing w:after="120" w:line="276"/>
      </w:pPr>
      <w:r>
        <w:rPr>
          <w:rFonts w:ascii="Calibri" w:cs="Calibri" w:eastAsia="Calibri" w:hAnsi="Calibri"/>
          <w:color w:val="000000"/>
          <w:sz w:val="22"/>
          <w:szCs w:val="22"/>
        </w:rPr>
        <w:t xml:space="preserve">Waste transfer notes and duty-of-care documentation will be retained by the operator and made available for inspection on request.</w:t>
      </w:r>
    </w:p>
    <w:p>
      <w:pPr>
        <w:pStyle w:val="Heading1"/>
        <w:spacing w:after="120" w:before="240"/>
      </w:pPr>
      <w:r>
        <w:rPr>
          <w:rFonts w:ascii="Calibri" w:cs="Calibri" w:eastAsia="Calibri" w:hAnsi="Calibri"/>
          <w:b/>
          <w:bCs/>
          <w:color w:val="000000"/>
          <w:sz w:val="28"/>
          <w:szCs w:val="28"/>
        </w:rPr>
        <w:t xml:space="preserve">5. Waste minimisation and recycling</w:t>
      </w:r>
    </w:p>
    <w:p>
      <w:pPr>
        <w:spacing w:after="120" w:line="276"/>
      </w:pPr>
      <w:r>
        <w:rPr>
          <w:rFonts w:ascii="Calibri" w:cs="Calibri" w:eastAsia="Calibri" w:hAnsi="Calibri"/>
          <w:color w:val="000000"/>
          <w:sz w:val="22"/>
          <w:szCs w:val="22"/>
        </w:rPr>
        <w:t xml:space="preserve">Proloco is committed to minimising the volume of waste sent to landfill. Measures include:</w:t>
      </w:r>
    </w:p>
    <w:p>
      <w:pPr>
        <w:pStyle w:val="ListParagraph"/>
        <w:numPr>
          <w:ilvl w:val="0"/>
          <w:numId w:val="2"/>
        </w:numPr>
        <w:spacing w:after="80" w:line="276"/>
      </w:pPr>
      <w:r>
        <w:rPr>
          <w:rFonts w:ascii="Calibri" w:cs="Calibri" w:eastAsia="Calibri" w:hAnsi="Calibri"/>
          <w:color w:val="000000"/>
          <w:sz w:val="22"/>
          <w:szCs w:val="22"/>
        </w:rPr>
        <w:t xml:space="preserve">Segregation of all recyclable streams at source (dry mixed recycling, glass, cardboard and food waste).</w:t>
      </w:r>
    </w:p>
    <w:p>
      <w:pPr>
        <w:pStyle w:val="ListParagraph"/>
        <w:numPr>
          <w:ilvl w:val="0"/>
          <w:numId w:val="2"/>
        </w:numPr>
        <w:spacing w:after="80" w:line="276"/>
      </w:pPr>
      <w:r>
        <w:rPr>
          <w:rFonts w:ascii="Calibri" w:cs="Calibri" w:eastAsia="Calibri" w:hAnsi="Calibri"/>
          <w:color w:val="000000"/>
          <w:sz w:val="22"/>
          <w:szCs w:val="22"/>
        </w:rPr>
        <w:t xml:space="preserve">Working with suppliers to reduce packaging, including returnable crates and bulk deliveries where practical.</w:t>
      </w:r>
    </w:p>
    <w:p>
      <w:pPr>
        <w:pStyle w:val="ListParagraph"/>
        <w:numPr>
          <w:ilvl w:val="0"/>
          <w:numId w:val="2"/>
        </w:numPr>
        <w:spacing w:after="80" w:line="276"/>
      </w:pPr>
      <w:r>
        <w:rPr>
          <w:rFonts w:ascii="Calibri" w:cs="Calibri" w:eastAsia="Calibri" w:hAnsi="Calibri"/>
          <w:color w:val="000000"/>
          <w:sz w:val="22"/>
          <w:szCs w:val="22"/>
        </w:rPr>
        <w:t xml:space="preserve">Separate food waste collection to divert organic waste from residual streams.</w:t>
      </w:r>
    </w:p>
    <w:p>
      <w:pPr>
        <w:pStyle w:val="ListParagraph"/>
        <w:numPr>
          <w:ilvl w:val="0"/>
          <w:numId w:val="2"/>
        </w:numPr>
        <w:spacing w:after="80" w:line="276"/>
      </w:pPr>
      <w:r>
        <w:rPr>
          <w:rFonts w:ascii="Calibri" w:cs="Calibri" w:eastAsia="Calibri" w:hAnsi="Calibri"/>
          <w:color w:val="000000"/>
          <w:sz w:val="22"/>
          <w:szCs w:val="22"/>
        </w:rPr>
        <w:t xml:space="preserve">Separate collection of waste cooking oil for recycling by a licensed processor.</w:t>
      </w:r>
    </w:p>
    <w:p>
      <w:pPr>
        <w:pStyle w:val="ListParagraph"/>
        <w:numPr>
          <w:ilvl w:val="0"/>
          <w:numId w:val="2"/>
        </w:numPr>
        <w:spacing w:after="80" w:line="276"/>
      </w:pPr>
      <w:r>
        <w:rPr>
          <w:rFonts w:ascii="Calibri" w:cs="Calibri" w:eastAsia="Calibri" w:hAnsi="Calibri"/>
          <w:color w:val="000000"/>
          <w:sz w:val="22"/>
          <w:szCs w:val="22"/>
        </w:rPr>
        <w:t xml:space="preserve">Staff training on correct segregation as part of induction.</w:t>
      </w:r>
    </w:p>
    <w:p>
      <w:pPr>
        <w:pStyle w:val="Heading1"/>
        <w:spacing w:after="120" w:before="240"/>
      </w:pPr>
      <w:r>
        <w:rPr>
          <w:rFonts w:ascii="Calibri" w:cs="Calibri" w:eastAsia="Calibri" w:hAnsi="Calibri"/>
          <w:b/>
          <w:bCs/>
          <w:color w:val="000000"/>
          <w:sz w:val="28"/>
          <w:szCs w:val="28"/>
        </w:rPr>
        <w:t xml:space="preserve">6. Management responsibility</w:t>
      </w:r>
    </w:p>
    <w:p>
      <w:pPr>
        <w:spacing w:after="120" w:line="276"/>
      </w:pPr>
      <w:r>
        <w:rPr>
          <w:rFonts w:ascii="Calibri" w:cs="Calibri" w:eastAsia="Calibri" w:hAnsi="Calibri"/>
          <w:color w:val="000000"/>
          <w:sz w:val="22"/>
          <w:szCs w:val="22"/>
        </w:rPr>
        <w:t xml:space="preserve">Day-to-day responsibility for waste management, including correct segregation, keeping the storage area clean, and presenting bins for collection, sits with the Head of Hospitality and the duty manager on each shift. Overall accountability sits with the Managing Director. The shop frontage and immediate external area will be kept clean and free of litter at all times.</w:t>
      </w:r>
    </w:p>
    <w:p>
      <w:pPr>
        <w:pStyle w:val="Heading1"/>
        <w:spacing w:after="120" w:before="240"/>
      </w:pPr>
      <w:r>
        <w:rPr>
          <w:rFonts w:ascii="Calibri" w:cs="Calibri" w:eastAsia="Calibri" w:hAnsi="Calibri"/>
          <w:b/>
          <w:bCs/>
          <w:color w:val="000000"/>
          <w:sz w:val="28"/>
          <w:szCs w:val="28"/>
        </w:rPr>
        <w:t xml:space="preserve">Appendix A - Layout plan</w:t>
      </w:r>
    </w:p>
    <w:p>
      <w:pPr>
        <w:spacing w:after="120" w:line="276"/>
      </w:pPr>
      <w:r>
        <w:rPr>
          <w:rFonts w:ascii="Calibri" w:cs="Calibri" w:eastAsia="Calibri" w:hAnsi="Calibri"/>
          <w:b/>
          <w:bCs/>
          <w:color w:val="C00000"/>
          <w:sz w:val="22"/>
          <w:szCs w:val="22"/>
        </w:rPr>
        <w:t xml:space="preserve">Scaled layout plan showing waste storage location and collection point to be inserted (source: PHAUS).</w:t>
      </w:r>
    </w:p>
    <w:p>
      <w:pPr>
        <w:pStyle w:val="Heading1"/>
        <w:spacing w:after="120" w:before="240"/>
      </w:pPr>
      <w:r>
        <w:rPr>
          <w:rFonts w:ascii="Calibri" w:cs="Calibri" w:eastAsia="Calibri" w:hAnsi="Calibri"/>
          <w:b/>
          <w:bCs/>
          <w:color w:val="000000"/>
          <w:sz w:val="28"/>
          <w:szCs w:val="28"/>
        </w:rPr>
        <w:t xml:space="preserve">Appendix B - Manchester City Council Waste Proforma (Appendix E of GD04)</w:t>
      </w:r>
    </w:p>
    <w:p>
      <w:pPr>
        <w:spacing w:after="120" w:line="276"/>
      </w:pPr>
      <w:r>
        <w:rPr>
          <w:rFonts w:ascii="Calibri" w:cs="Calibri" w:eastAsia="Calibri" w:hAnsi="Calibri"/>
          <w:color w:val="000000"/>
          <w:sz w:val="22"/>
          <w:szCs w:val="22"/>
        </w:rPr>
        <w:t xml:space="preserve">The completed Council waste proforma is provided as a separate document accompanying this strategy.</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6"/>
      </w:pBdr>
    </w:pPr>
    <w:r>
      <w:rPr>
        <w:rFonts w:ascii="Calibri" w:cs="Calibri" w:eastAsia="Calibri" w:hAnsi="Calibri"/>
        <w:color w:val="595959"/>
        <w:sz w:val="16"/>
        <w:szCs w:val="16"/>
      </w:rPr>
      <w:t xml:space="preserve">Proloco, 74 Great Ancoats Street, Manchester M4 5GU</w:t>
    </w:r>
    <w:r>
      <w:rPr>
        <w:rFonts w:ascii="Calibri" w:cs="Calibri" w:eastAsia="Calibri" w:hAnsi="Calibri"/>
        <w:color w:val="595959"/>
        <w:sz w:val="16"/>
        <w:szCs w:val="16"/>
      </w:rPr>
      <w:t xml:space="preserve">          Page </w:t>
    </w:r>
    <w:r>
      <w:rPr>
        <w:rFonts w:ascii="Calibri" w:cs="Calibri" w:eastAsia="Calibri" w:hAnsi="Calibri"/>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2026-07-10T06:01:02.381Z</dcterms:created>
  <dcterms:modified xsi:type="dcterms:W3CDTF">2026-07-10T06:01:02.381Z</dcterms:modified>
</cp:coreProperties>
</file>

<file path=docProps/custom.xml><?xml version="1.0" encoding="utf-8"?>
<Properties xmlns="http://schemas.openxmlformats.org/officeDocument/2006/custom-properties" xmlns:vt="http://schemas.openxmlformats.org/officeDocument/2006/docPropsVTypes"/>
</file>