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000000"/>
          <w:spacing w:val="40"/>
          <w:sz w:val="24"/>
          <w:szCs w:val="24"/>
        </w:rPr>
        <w:t xml:space="preserve">PROLOCO</w:t>
      </w:r>
    </w:p>
    <w:p>
      <w:pPr>
        <w:spacing w:after="120"/>
      </w:pPr>
      <w:r>
        <w:rPr>
          <w:rFonts w:ascii="Calibri" w:cs="Calibri" w:eastAsia="Calibri" w:hAnsi="Calibri"/>
          <w:color w:val="595959"/>
          <w:sz w:val="18"/>
          <w:szCs w:val="18"/>
        </w:rPr>
        <w:t xml:space="preserve">The Wilco Test Ltd t/a Proloco</w:t>
      </w:r>
    </w:p>
    <w:p>
      <w:pPr>
        <w:pBdr>
          <w:bottom w:val="single" w:color="BFBFBF" w:sz="6" w:space="1"/>
        </w:pBdr>
        <w:spacing w:after="160"/>
      </w:pPr>
      <w:r>
        <w:t xml:space="preserve"/>
      </w:r>
    </w:p>
    <w:p>
      <w:pPr>
        <w:spacing w:after="40" w:before="120"/>
      </w:pPr>
      <w:r>
        <w:rPr>
          <w:rFonts w:ascii="Calibri" w:cs="Calibri" w:eastAsia="Calibri" w:hAnsi="Calibri"/>
          <w:b/>
          <w:bCs/>
          <w:color w:val="000000"/>
          <w:sz w:val="32"/>
          <w:szCs w:val="32"/>
        </w:rPr>
        <w:t xml:space="preserve">Fume Extraction - Cleaning and Maintenance Regime</w:t>
      </w:r>
    </w:p>
    <w:p>
      <w:pPr>
        <w:spacing w:after="200"/>
      </w:pPr>
      <w:r>
        <w:rPr>
          <w:rFonts w:ascii="Calibri" w:cs="Calibri" w:eastAsia="Calibri" w:hAnsi="Calibri"/>
          <w:color w:val="595959"/>
          <w:sz w:val="20"/>
          <w:szCs w:val="20"/>
        </w:rPr>
        <w:t xml:space="preserve">Prepared in support of planning condition discharge (Condition 19 - Ventilation / Extract)</w:t>
      </w:r>
    </w:p>
    <w:tbl>
      <w:tblPr>
        <w:tblW w:type="dxa" w:w="9360"/>
        <w:tblBorders>
          <w:top w:val="single" w:color="BFBFBF" w:sz="4"/>
          <w:left w:val="none"/>
          <w:bottom w:val="single" w:color="BFBFBF" w:sz="4"/>
          <w:right w:val="none"/>
          <w:insideH w:val="single" w:color="BFBFBF" w:sz="4"/>
          <w:insideV w:val="none"/>
        </w:tblBorders>
      </w:tblPr>
      <w:tblGrid>
        <w:gridCol w:w="2800"/>
        <w:gridCol w:w="6560"/>
      </w:tblGrid>
      <w:tr>
        <w:tc>
          <w:tcPr>
            <w:tcW w:type="dxa" w:w="2800"/>
            <w:tcMar>
              <w:top w:type="dxa" w:w="60"/>
              <w:left w:type="dxa" w:w="60"/>
              <w:bottom w:type="dxa" w:w="60"/>
              <w:right w:type="dxa" w:w="120"/>
            </w:tcMar>
          </w:tcPr>
          <w:p>
            <w:r>
              <w:rPr>
                <w:rFonts w:ascii="Calibri" w:cs="Calibri" w:eastAsia="Calibri" w:hAnsi="Calibri"/>
                <w:b/>
                <w:bCs/>
                <w:sz w:val="20"/>
                <w:szCs w:val="20"/>
              </w:rPr>
              <w:t xml:space="preserve">Premises</w:t>
            </w:r>
          </w:p>
        </w:tc>
        <w:tc>
          <w:tcPr>
            <w:tcW w:type="dxa" w:w="6560"/>
            <w:tcMar>
              <w:top w:type="dxa" w:w="60"/>
              <w:left w:type="dxa" w:w="60"/>
              <w:bottom w:type="dxa" w:w="60"/>
              <w:right w:type="dxa" w:w="60"/>
            </w:tcMar>
          </w:tcPr>
          <w:p>
            <w:r>
              <w:rPr>
                <w:rFonts w:ascii="Calibri" w:cs="Calibri" w:eastAsia="Calibri" w:hAnsi="Calibri"/>
                <w:sz w:val="20"/>
                <w:szCs w:val="20"/>
              </w:rPr>
              <w:t xml:space="preserve">Proloco, Unit 2, One Port Street, 74 Great Ancoats Street, Manchester M4 5GU</w:t>
            </w:r>
          </w:p>
        </w:tc>
      </w:tr>
      <w:tr>
        <w:tc>
          <w:tcPr>
            <w:tcW w:type="dxa" w:w="2800"/>
            <w:tcMar>
              <w:top w:type="dxa" w:w="60"/>
              <w:left w:type="dxa" w:w="60"/>
              <w:bottom w:type="dxa" w:w="60"/>
              <w:right w:type="dxa" w:w="120"/>
            </w:tcMar>
          </w:tcPr>
          <w:p>
            <w:r>
              <w:rPr>
                <w:rFonts w:ascii="Calibri" w:cs="Calibri" w:eastAsia="Calibri" w:hAnsi="Calibri"/>
                <w:b/>
                <w:bCs/>
                <w:sz w:val="20"/>
                <w:szCs w:val="20"/>
              </w:rPr>
              <w:t xml:space="preserve">Operator</w:t>
            </w:r>
          </w:p>
        </w:tc>
        <w:tc>
          <w:tcPr>
            <w:tcW w:type="dxa" w:w="6560"/>
            <w:tcMar>
              <w:top w:type="dxa" w:w="60"/>
              <w:left w:type="dxa" w:w="60"/>
              <w:bottom w:type="dxa" w:w="60"/>
              <w:right w:type="dxa" w:w="60"/>
            </w:tcMar>
          </w:tcPr>
          <w:p>
            <w:r>
              <w:rPr>
                <w:rFonts w:ascii="Calibri" w:cs="Calibri" w:eastAsia="Calibri" w:hAnsi="Calibri"/>
                <w:sz w:val="20"/>
                <w:szCs w:val="20"/>
              </w:rPr>
              <w:t xml:space="preserve">The Wilco Test Ltd t/a Proloco</w:t>
            </w:r>
          </w:p>
        </w:tc>
      </w:tr>
      <w:tr>
        <w:tc>
          <w:tcPr>
            <w:tcW w:type="dxa" w:w="2800"/>
            <w:tcMar>
              <w:top w:type="dxa" w:w="60"/>
              <w:left w:type="dxa" w:w="60"/>
              <w:bottom w:type="dxa" w:w="60"/>
              <w:right w:type="dxa" w:w="120"/>
            </w:tcMar>
          </w:tcPr>
          <w:p>
            <w:r>
              <w:rPr>
                <w:rFonts w:ascii="Calibri" w:cs="Calibri" w:eastAsia="Calibri" w:hAnsi="Calibri"/>
                <w:b/>
                <w:bCs/>
                <w:sz w:val="20"/>
                <w:szCs w:val="20"/>
              </w:rPr>
              <w:t xml:space="preserve">Scope</w:t>
            </w:r>
          </w:p>
        </w:tc>
        <w:tc>
          <w:tcPr>
            <w:tcW w:type="dxa" w:w="6560"/>
            <w:tcMar>
              <w:top w:type="dxa" w:w="60"/>
              <w:left w:type="dxa" w:w="60"/>
              <w:bottom w:type="dxa" w:w="60"/>
              <w:right w:type="dxa" w:w="60"/>
            </w:tcMar>
          </w:tcPr>
          <w:p>
            <w:r>
              <w:rPr>
                <w:rFonts w:ascii="Calibri" w:cs="Calibri" w:eastAsia="Calibri" w:hAnsi="Calibri"/>
                <w:sz w:val="20"/>
                <w:szCs w:val="20"/>
              </w:rPr>
              <w:t xml:space="preserve">Cleaning and maintenance regime for kitchen fume extraction equipment</w:t>
            </w:r>
          </w:p>
        </w:tc>
      </w:tr>
      <w:tr>
        <w:tc>
          <w:tcPr>
            <w:tcW w:type="dxa" w:w="2800"/>
            <w:tcMar>
              <w:top w:type="dxa" w:w="60"/>
              <w:left w:type="dxa" w:w="60"/>
              <w:bottom w:type="dxa" w:w="60"/>
              <w:right w:type="dxa" w:w="120"/>
            </w:tcMar>
          </w:tcPr>
          <w:p>
            <w:r>
              <w:rPr>
                <w:rFonts w:ascii="Calibri" w:cs="Calibri" w:eastAsia="Calibri" w:hAnsi="Calibri"/>
                <w:b/>
                <w:bCs/>
                <w:sz w:val="20"/>
                <w:szCs w:val="20"/>
              </w:rPr>
              <w:t xml:space="preserve">Date</w:t>
            </w:r>
          </w:p>
        </w:tc>
        <w:tc>
          <w:tcPr>
            <w:tcW w:type="dxa" w:w="6560"/>
            <w:tcMar>
              <w:top w:type="dxa" w:w="60"/>
              <w:left w:type="dxa" w:w="60"/>
              <w:bottom w:type="dxa" w:w="60"/>
              <w:right w:type="dxa" w:w="60"/>
            </w:tcMar>
          </w:tcPr>
          <w:p>
            <w:r>
              <w:rPr>
                <w:rFonts w:ascii="Calibri" w:cs="Calibri" w:eastAsia="Calibri" w:hAnsi="Calibri"/>
                <w:sz w:val="20"/>
                <w:szCs w:val="20"/>
              </w:rPr>
              <w:t xml:space="preserve">July 2026</w:t>
            </w:r>
          </w:p>
        </w:tc>
      </w:tr>
      <w:tr>
        <w:tc>
          <w:tcPr>
            <w:tcW w:type="dxa" w:w="2800"/>
            <w:tcMar>
              <w:top w:type="dxa" w:w="60"/>
              <w:left w:type="dxa" w:w="60"/>
              <w:bottom w:type="dxa" w:w="60"/>
              <w:right w:type="dxa" w:w="120"/>
            </w:tcMar>
          </w:tcPr>
          <w:p>
            <w:r>
              <w:rPr>
                <w:rFonts w:ascii="Calibri" w:cs="Calibri" w:eastAsia="Calibri" w:hAnsi="Calibri"/>
                <w:b/>
                <w:bCs/>
                <w:sz w:val="20"/>
                <w:szCs w:val="20"/>
              </w:rPr>
              <w:t xml:space="preserve">Version</w:t>
            </w:r>
          </w:p>
        </w:tc>
        <w:tc>
          <w:tcPr>
            <w:tcW w:type="dxa" w:w="6560"/>
            <w:tcMar>
              <w:top w:type="dxa" w:w="60"/>
              <w:left w:type="dxa" w:w="60"/>
              <w:bottom w:type="dxa" w:w="60"/>
              <w:right w:type="dxa" w:w="60"/>
            </w:tcMar>
          </w:tcPr>
          <w:p>
            <w:r>
              <w:rPr>
                <w:rFonts w:ascii="Calibri" w:cs="Calibri" w:eastAsia="Calibri" w:hAnsi="Calibri"/>
                <w:sz w:val="20"/>
                <w:szCs w:val="20"/>
              </w:rPr>
              <w:t xml:space="preserve">1.0</w:t>
            </w:r>
          </w:p>
        </w:tc>
      </w:tr>
    </w:tbl>
    <w:p>
      <w:pPr>
        <w:spacing w:after="120" w:line="276"/>
      </w:pPr>
      <w:r>
        <w:rPr>
          <w:rFonts w:ascii="Calibri" w:cs="Calibri" w:eastAsia="Calibri" w:hAnsi="Calibri"/>
          <w:b/>
          <w:bCs/>
          <w:color w:val="000000"/>
          <w:sz w:val="22"/>
          <w:szCs w:val="22"/>
        </w:rPr>
        <w:t xml:space="preserve">Note on scope: </w:t>
      </w:r>
      <w:r>
        <w:rPr>
          <w:rFonts w:ascii="Calibri" w:cs="Calibri" w:eastAsia="Calibri" w:hAnsi="Calibri"/>
          <w:color w:val="000000"/>
          <w:sz w:val="22"/>
          <w:szCs w:val="22"/>
        </w:rPr>
        <w:t xml:space="preserve">This statement addresses the third information item requested under Condition 19 - the proposed cleaning and maintenance regime for the fume extraction equipment. The Full Odour Impact Assessment and the internal floorplans showing equipment location and ducting route are being provided separately by the operator's specialist consultant and by PHAUS respectively.</w:t>
      </w:r>
    </w:p>
    <w:p>
      <w:pPr>
        <w:pStyle w:val="Heading1"/>
        <w:spacing w:after="120" w:before="240"/>
      </w:pPr>
      <w:r>
        <w:rPr>
          <w:rFonts w:ascii="Calibri" w:cs="Calibri" w:eastAsia="Calibri" w:hAnsi="Calibri"/>
          <w:b/>
          <w:bCs/>
          <w:color w:val="000000"/>
          <w:sz w:val="28"/>
          <w:szCs w:val="28"/>
        </w:rPr>
        <w:t xml:space="preserve">1. Extraction system overview</w:t>
      </w:r>
    </w:p>
    <w:p>
      <w:pPr>
        <w:spacing w:after="120" w:line="276"/>
      </w:pPr>
      <w:r>
        <w:rPr>
          <w:rFonts w:ascii="Calibri" w:cs="Calibri" w:eastAsia="Calibri" w:hAnsi="Calibri"/>
          <w:color w:val="000000"/>
          <w:sz w:val="22"/>
          <w:szCs w:val="22"/>
        </w:rPr>
        <w:t xml:space="preserve">The kitchen extraction system comprises a canopy and filtration arrangement serving the pizza oven and cooking line, ducted to </w:t>
      </w:r>
      <w:r>
        <w:rPr>
          <w:rFonts w:ascii="Calibri" w:cs="Calibri" w:eastAsia="Calibri" w:hAnsi="Calibri"/>
          <w:b/>
          <w:bCs/>
          <w:color w:val="C00000"/>
          <w:sz w:val="22"/>
          <w:szCs w:val="22"/>
        </w:rPr>
        <w:t xml:space="preserve">[discharge point - roof level / external wall, per PHAUS drawings]</w:t>
      </w:r>
      <w:r>
        <w:rPr>
          <w:rFonts w:ascii="Calibri" w:cs="Calibri" w:eastAsia="Calibri" w:hAnsi="Calibri"/>
          <w:color w:val="000000"/>
          <w:sz w:val="22"/>
          <w:szCs w:val="22"/>
        </w:rPr>
        <w:t xml:space="preserve">. The system incorporates grease filtration and odour control appropriate to the cooking operation. Full equipment specification has already been provided to the Council under separate cover; this document addresses the ongoing cleaning and maintenance of that equipment.</w:t>
      </w:r>
    </w:p>
    <w:p>
      <w:pPr>
        <w:pStyle w:val="Heading1"/>
        <w:spacing w:after="120" w:before="240"/>
      </w:pPr>
      <w:r>
        <w:rPr>
          <w:rFonts w:ascii="Calibri" w:cs="Calibri" w:eastAsia="Calibri" w:hAnsi="Calibri"/>
          <w:b/>
          <w:bCs/>
          <w:color w:val="000000"/>
          <w:sz w:val="28"/>
          <w:szCs w:val="28"/>
        </w:rPr>
        <w:t xml:space="preserve">2. Cleaning regime</w:t>
      </w:r>
    </w:p>
    <w:p>
      <w:pPr>
        <w:spacing w:after="120" w:line="276"/>
      </w:pPr>
      <w:r>
        <w:rPr>
          <w:rFonts w:ascii="Calibri" w:cs="Calibri" w:eastAsia="Calibri" w:hAnsi="Calibri"/>
          <w:color w:val="000000"/>
          <w:sz w:val="22"/>
          <w:szCs w:val="22"/>
        </w:rPr>
        <w:t xml:space="preserve">The operator will maintain the extraction system to the standard of TR19 Grease (the Building Engineering Services Association specification for the cleanliness of kitchen extract systems), which is the recognised industry benchmark and is also required by the operator's insurers. The regime is as follows:</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2200"/>
        <w:gridCol w:w="3400"/>
        <w:gridCol w:w="2000"/>
        <w:gridCol w:w="1760"/>
      </w:tblGrid>
      <w:tr>
        <w:trPr>
          <w:tblHeader/>
        </w:trPr>
        <w:tc>
          <w:tcPr>
            <w:tcW w:type="dxa" w:w="2200"/>
            <w:shd w:fill="F2F2F2" w:val="clear"/>
            <w:tcMar>
              <w:top w:type="dxa" w:w="60"/>
              <w:left w:type="dxa" w:w="80"/>
              <w:bottom w:type="dxa" w:w="60"/>
              <w:right w:type="dxa" w:w="80"/>
            </w:tcMar>
          </w:tcPr>
          <w:p>
            <w:r>
              <w:rPr>
                <w:rFonts w:ascii="Calibri" w:cs="Calibri" w:eastAsia="Calibri" w:hAnsi="Calibri"/>
                <w:b/>
                <w:bCs/>
                <w:sz w:val="20"/>
                <w:szCs w:val="20"/>
              </w:rPr>
              <w:t xml:space="preserve">Element</w:t>
            </w:r>
          </w:p>
        </w:tc>
        <w:tc>
          <w:tcPr>
            <w:tcW w:type="dxa" w:w="3400"/>
            <w:shd w:fill="F2F2F2" w:val="clear"/>
            <w:tcMar>
              <w:top w:type="dxa" w:w="60"/>
              <w:left w:type="dxa" w:w="80"/>
              <w:bottom w:type="dxa" w:w="60"/>
              <w:right w:type="dxa" w:w="80"/>
            </w:tcMar>
          </w:tcPr>
          <w:p>
            <w:r>
              <w:rPr>
                <w:rFonts w:ascii="Calibri" w:cs="Calibri" w:eastAsia="Calibri" w:hAnsi="Calibri"/>
                <w:b/>
                <w:bCs/>
                <w:sz w:val="20"/>
                <w:szCs w:val="20"/>
              </w:rPr>
              <w:t xml:space="preserve">Task</w:t>
            </w:r>
          </w:p>
        </w:tc>
        <w:tc>
          <w:tcPr>
            <w:tcW w:type="dxa" w:w="2000"/>
            <w:shd w:fill="F2F2F2" w:val="clear"/>
            <w:tcMar>
              <w:top w:type="dxa" w:w="60"/>
              <w:left w:type="dxa" w:w="80"/>
              <w:bottom w:type="dxa" w:w="60"/>
              <w:right w:type="dxa" w:w="80"/>
            </w:tcMar>
          </w:tcPr>
          <w:p>
            <w:r>
              <w:rPr>
                <w:rFonts w:ascii="Calibri" w:cs="Calibri" w:eastAsia="Calibri" w:hAnsi="Calibri"/>
                <w:b/>
                <w:bCs/>
                <w:sz w:val="20"/>
                <w:szCs w:val="20"/>
              </w:rPr>
              <w:t xml:space="preserve">Frequency</w:t>
            </w:r>
          </w:p>
        </w:tc>
        <w:tc>
          <w:tcPr>
            <w:tcW w:type="dxa" w:w="1760"/>
            <w:shd w:fill="F2F2F2" w:val="clear"/>
            <w:tcMar>
              <w:top w:type="dxa" w:w="60"/>
              <w:left w:type="dxa" w:w="80"/>
              <w:bottom w:type="dxa" w:w="60"/>
              <w:right w:type="dxa" w:w="80"/>
            </w:tcMar>
          </w:tcPr>
          <w:p>
            <w:r>
              <w:rPr>
                <w:rFonts w:ascii="Calibri" w:cs="Calibri" w:eastAsia="Calibri" w:hAnsi="Calibri"/>
                <w:b/>
                <w:bCs/>
                <w:sz w:val="20"/>
                <w:szCs w:val="20"/>
              </w:rPr>
              <w:t xml:space="preserve">Responsibility</w:t>
            </w:r>
          </w:p>
        </w:tc>
      </w:tr>
      <w:tr>
        <w:tc>
          <w:tcPr>
            <w:tcW w:type="dxa" w:w="2200"/>
            <w:tcMar>
              <w:top w:type="dxa" w:w="60"/>
              <w:left w:type="dxa" w:w="80"/>
              <w:bottom w:type="dxa" w:w="60"/>
              <w:right w:type="dxa" w:w="80"/>
            </w:tcMar>
          </w:tcPr>
          <w:p>
            <w:r>
              <w:rPr>
                <w:rFonts w:ascii="Calibri" w:cs="Calibri" w:eastAsia="Calibri" w:hAnsi="Calibri"/>
                <w:sz w:val="20"/>
                <w:szCs w:val="20"/>
              </w:rPr>
              <w:t xml:space="preserve">Grease filters</w:t>
            </w:r>
          </w:p>
        </w:tc>
        <w:tc>
          <w:tcPr>
            <w:tcW w:type="dxa" w:w="3400"/>
            <w:tcMar>
              <w:top w:type="dxa" w:w="60"/>
              <w:left w:type="dxa" w:w="80"/>
              <w:bottom w:type="dxa" w:w="60"/>
              <w:right w:type="dxa" w:w="80"/>
            </w:tcMar>
          </w:tcPr>
          <w:p>
            <w:r>
              <w:rPr>
                <w:rFonts w:ascii="Calibri" w:cs="Calibri" w:eastAsia="Calibri" w:hAnsi="Calibri"/>
                <w:sz w:val="20"/>
                <w:szCs w:val="20"/>
              </w:rPr>
              <w:t xml:space="preserve">Removed, degreased and cleaned (or replaced)</w:t>
            </w:r>
          </w:p>
        </w:tc>
        <w:tc>
          <w:tcPr>
            <w:tcW w:type="dxa" w:w="2000"/>
            <w:tcMar>
              <w:top w:type="dxa" w:w="60"/>
              <w:left w:type="dxa" w:w="80"/>
              <w:bottom w:type="dxa" w:w="60"/>
              <w:right w:type="dxa" w:w="80"/>
            </w:tcMar>
          </w:tcPr>
          <w:p>
            <w:r>
              <w:rPr>
                <w:rFonts w:ascii="Calibri" w:cs="Calibri" w:eastAsia="Calibri" w:hAnsi="Calibri"/>
                <w:sz w:val="20"/>
                <w:szCs w:val="20"/>
              </w:rPr>
              <w:t xml:space="preserve">Daily / after each service as required</w:t>
            </w:r>
          </w:p>
        </w:tc>
        <w:tc>
          <w:tcPr>
            <w:tcW w:type="dxa" w:w="1760"/>
            <w:tcMar>
              <w:top w:type="dxa" w:w="60"/>
              <w:left w:type="dxa" w:w="80"/>
              <w:bottom w:type="dxa" w:w="60"/>
              <w:right w:type="dxa" w:w="80"/>
            </w:tcMar>
          </w:tcPr>
          <w:p>
            <w:r>
              <w:rPr>
                <w:rFonts w:ascii="Calibri" w:cs="Calibri" w:eastAsia="Calibri" w:hAnsi="Calibri"/>
                <w:sz w:val="20"/>
                <w:szCs w:val="20"/>
              </w:rPr>
              <w:t xml:space="preserve">Kitchen team</w:t>
            </w:r>
          </w:p>
        </w:tc>
      </w:tr>
      <w:tr>
        <w:tc>
          <w:tcPr>
            <w:tcW w:type="dxa" w:w="2200"/>
            <w:tcMar>
              <w:top w:type="dxa" w:w="60"/>
              <w:left w:type="dxa" w:w="80"/>
              <w:bottom w:type="dxa" w:w="60"/>
              <w:right w:type="dxa" w:w="80"/>
            </w:tcMar>
          </w:tcPr>
          <w:p>
            <w:r>
              <w:rPr>
                <w:rFonts w:ascii="Calibri" w:cs="Calibri" w:eastAsia="Calibri" w:hAnsi="Calibri"/>
                <w:sz w:val="20"/>
                <w:szCs w:val="20"/>
              </w:rPr>
              <w:t xml:space="preserve">Canopy internal surfaces</w:t>
            </w:r>
          </w:p>
        </w:tc>
        <w:tc>
          <w:tcPr>
            <w:tcW w:type="dxa" w:w="3400"/>
            <w:tcMar>
              <w:top w:type="dxa" w:w="60"/>
              <w:left w:type="dxa" w:w="80"/>
              <w:bottom w:type="dxa" w:w="60"/>
              <w:right w:type="dxa" w:w="80"/>
            </w:tcMar>
          </w:tcPr>
          <w:p>
            <w:r>
              <w:rPr>
                <w:rFonts w:ascii="Calibri" w:cs="Calibri" w:eastAsia="Calibri" w:hAnsi="Calibri"/>
                <w:sz w:val="20"/>
                <w:szCs w:val="20"/>
              </w:rPr>
              <w:t xml:space="preserve">Degreased and wiped down</w:t>
            </w:r>
          </w:p>
        </w:tc>
        <w:tc>
          <w:tcPr>
            <w:tcW w:type="dxa" w:w="2000"/>
            <w:tcMar>
              <w:top w:type="dxa" w:w="60"/>
              <w:left w:type="dxa" w:w="80"/>
              <w:bottom w:type="dxa" w:w="60"/>
              <w:right w:type="dxa" w:w="80"/>
            </w:tcMar>
          </w:tcPr>
          <w:p>
            <w:r>
              <w:rPr>
                <w:rFonts w:ascii="Calibri" w:cs="Calibri" w:eastAsia="Calibri" w:hAnsi="Calibri"/>
                <w:sz w:val="20"/>
                <w:szCs w:val="20"/>
              </w:rPr>
              <w:t xml:space="preserve">Daily</w:t>
            </w:r>
          </w:p>
        </w:tc>
        <w:tc>
          <w:tcPr>
            <w:tcW w:type="dxa" w:w="1760"/>
            <w:tcMar>
              <w:top w:type="dxa" w:w="60"/>
              <w:left w:type="dxa" w:w="80"/>
              <w:bottom w:type="dxa" w:w="60"/>
              <w:right w:type="dxa" w:w="80"/>
            </w:tcMar>
          </w:tcPr>
          <w:p>
            <w:r>
              <w:rPr>
                <w:rFonts w:ascii="Calibri" w:cs="Calibri" w:eastAsia="Calibri" w:hAnsi="Calibri"/>
                <w:sz w:val="20"/>
                <w:szCs w:val="20"/>
              </w:rPr>
              <w:t xml:space="preserve">Kitchen team</w:t>
            </w:r>
          </w:p>
        </w:tc>
      </w:tr>
      <w:tr>
        <w:tc>
          <w:tcPr>
            <w:tcW w:type="dxa" w:w="2200"/>
            <w:tcMar>
              <w:top w:type="dxa" w:w="60"/>
              <w:left w:type="dxa" w:w="80"/>
              <w:bottom w:type="dxa" w:w="60"/>
              <w:right w:type="dxa" w:w="80"/>
            </w:tcMar>
          </w:tcPr>
          <w:p>
            <w:r>
              <w:rPr>
                <w:rFonts w:ascii="Calibri" w:cs="Calibri" w:eastAsia="Calibri" w:hAnsi="Calibri"/>
                <w:sz w:val="20"/>
                <w:szCs w:val="20"/>
              </w:rPr>
              <w:t xml:space="preserve">Ductwork (full length)</w:t>
            </w:r>
          </w:p>
        </w:tc>
        <w:tc>
          <w:tcPr>
            <w:tcW w:type="dxa" w:w="3400"/>
            <w:tcMar>
              <w:top w:type="dxa" w:w="60"/>
              <w:left w:type="dxa" w:w="80"/>
              <w:bottom w:type="dxa" w:w="60"/>
              <w:right w:type="dxa" w:w="80"/>
            </w:tcMar>
          </w:tcPr>
          <w:p>
            <w:r>
              <w:rPr>
                <w:rFonts w:ascii="Calibri" w:cs="Calibri" w:eastAsia="Calibri" w:hAnsi="Calibri"/>
                <w:sz w:val="20"/>
                <w:szCs w:val="20"/>
              </w:rPr>
              <w:t xml:space="preserve">Deep clean by specialist contractor to TR19 Grease, with pre/post clean report and access-panel verification</w:t>
            </w:r>
          </w:p>
        </w:tc>
        <w:tc>
          <w:tcPr>
            <w:tcW w:type="dxa" w:w="2000"/>
            <w:tcMar>
              <w:top w:type="dxa" w:w="60"/>
              <w:left w:type="dxa" w:w="80"/>
              <w:bottom w:type="dxa" w:w="60"/>
              <w:right w:type="dxa" w:w="80"/>
            </w:tcMar>
          </w:tcPr>
          <w:p>
            <w:r>
              <w:rPr>
                <w:rFonts w:ascii="Calibri" w:cs="Calibri" w:eastAsia="Calibri" w:hAnsi="Calibri"/>
                <w:sz w:val="20"/>
                <w:szCs w:val="20"/>
              </w:rPr>
              <w:t xml:space="preserve">Per TR19 Grease, by usage category (see note below)</w:t>
            </w:r>
          </w:p>
        </w:tc>
        <w:tc>
          <w:tcPr>
            <w:tcW w:type="dxa" w:w="1760"/>
            <w:tcMar>
              <w:top w:type="dxa" w:w="60"/>
              <w:left w:type="dxa" w:w="80"/>
              <w:bottom w:type="dxa" w:w="60"/>
              <w:right w:type="dxa" w:w="80"/>
            </w:tcMar>
          </w:tcPr>
          <w:p>
            <w:r>
              <w:rPr>
                <w:rFonts w:ascii="Calibri" w:cs="Calibri" w:eastAsia="Calibri" w:hAnsi="Calibri"/>
                <w:sz w:val="20"/>
                <w:szCs w:val="20"/>
              </w:rPr>
              <w:t xml:space="preserve">Specialist contractor</w:t>
            </w:r>
          </w:p>
        </w:tc>
      </w:tr>
      <w:tr>
        <w:tc>
          <w:tcPr>
            <w:tcW w:type="dxa" w:w="2200"/>
            <w:tcMar>
              <w:top w:type="dxa" w:w="60"/>
              <w:left w:type="dxa" w:w="80"/>
              <w:bottom w:type="dxa" w:w="60"/>
              <w:right w:type="dxa" w:w="80"/>
            </w:tcMar>
          </w:tcPr>
          <w:p>
            <w:r>
              <w:rPr>
                <w:rFonts w:ascii="Calibri" w:cs="Calibri" w:eastAsia="Calibri" w:hAnsi="Calibri"/>
                <w:sz w:val="20"/>
                <w:szCs w:val="20"/>
              </w:rPr>
              <w:t xml:space="preserve">Fan and extract unit</w:t>
            </w:r>
          </w:p>
        </w:tc>
        <w:tc>
          <w:tcPr>
            <w:tcW w:type="dxa" w:w="3400"/>
            <w:tcMar>
              <w:top w:type="dxa" w:w="60"/>
              <w:left w:type="dxa" w:w="80"/>
              <w:bottom w:type="dxa" w:w="60"/>
              <w:right w:type="dxa" w:w="80"/>
            </w:tcMar>
          </w:tcPr>
          <w:p>
            <w:r>
              <w:rPr>
                <w:rFonts w:ascii="Calibri" w:cs="Calibri" w:eastAsia="Calibri" w:hAnsi="Calibri"/>
                <w:sz w:val="20"/>
                <w:szCs w:val="20"/>
              </w:rPr>
              <w:t xml:space="preserve">Cleaned and inspected</w:t>
            </w:r>
          </w:p>
        </w:tc>
        <w:tc>
          <w:tcPr>
            <w:tcW w:type="dxa" w:w="2000"/>
            <w:tcMar>
              <w:top w:type="dxa" w:w="60"/>
              <w:left w:type="dxa" w:w="80"/>
              <w:bottom w:type="dxa" w:w="60"/>
              <w:right w:type="dxa" w:w="80"/>
            </w:tcMar>
          </w:tcPr>
          <w:p>
            <w:r>
              <w:rPr>
                <w:rFonts w:ascii="Calibri" w:cs="Calibri" w:eastAsia="Calibri" w:hAnsi="Calibri"/>
                <w:sz w:val="20"/>
                <w:szCs w:val="20"/>
              </w:rPr>
              <w:t xml:space="preserve">With each ductwork deep clean</w:t>
            </w:r>
          </w:p>
        </w:tc>
        <w:tc>
          <w:tcPr>
            <w:tcW w:type="dxa" w:w="1760"/>
            <w:tcMar>
              <w:top w:type="dxa" w:w="60"/>
              <w:left w:type="dxa" w:w="80"/>
              <w:bottom w:type="dxa" w:w="60"/>
              <w:right w:type="dxa" w:w="80"/>
            </w:tcMar>
          </w:tcPr>
          <w:p>
            <w:r>
              <w:rPr>
                <w:rFonts w:ascii="Calibri" w:cs="Calibri" w:eastAsia="Calibri" w:hAnsi="Calibri"/>
                <w:sz w:val="20"/>
                <w:szCs w:val="20"/>
              </w:rPr>
              <w:t xml:space="preserve">Specialist contractor</w:t>
            </w:r>
          </w:p>
        </w:tc>
      </w:tr>
      <w:tr>
        <w:tc>
          <w:tcPr>
            <w:tcW w:type="dxa" w:w="2200"/>
            <w:tcMar>
              <w:top w:type="dxa" w:w="60"/>
              <w:left w:type="dxa" w:w="80"/>
              <w:bottom w:type="dxa" w:w="60"/>
              <w:right w:type="dxa" w:w="80"/>
            </w:tcMar>
          </w:tcPr>
          <w:p>
            <w:r>
              <w:rPr>
                <w:rFonts w:ascii="Calibri" w:cs="Calibri" w:eastAsia="Calibri" w:hAnsi="Calibri"/>
                <w:sz w:val="20"/>
                <w:szCs w:val="20"/>
              </w:rPr>
              <w:t xml:space="preserve">Odour control media</w:t>
            </w:r>
          </w:p>
        </w:tc>
        <w:tc>
          <w:tcPr>
            <w:tcW w:type="dxa" w:w="3400"/>
            <w:tcMar>
              <w:top w:type="dxa" w:w="60"/>
              <w:left w:type="dxa" w:w="80"/>
              <w:bottom w:type="dxa" w:w="60"/>
              <w:right w:type="dxa" w:w="80"/>
            </w:tcMar>
          </w:tcPr>
          <w:p>
            <w:r>
              <w:rPr>
                <w:rFonts w:ascii="Calibri" w:cs="Calibri" w:eastAsia="Calibri" w:hAnsi="Calibri"/>
                <w:sz w:val="20"/>
                <w:szCs w:val="20"/>
              </w:rPr>
              <w:t xml:space="preserve">Inspected and replaced per manufacturer schedule</w:t>
            </w:r>
          </w:p>
        </w:tc>
        <w:tc>
          <w:tcPr>
            <w:tcW w:type="dxa" w:w="2000"/>
            <w:tcMar>
              <w:top w:type="dxa" w:w="60"/>
              <w:left w:type="dxa" w:w="80"/>
              <w:bottom w:type="dxa" w:w="60"/>
              <w:right w:type="dxa" w:w="80"/>
            </w:tcMar>
          </w:tcPr>
          <w:p>
            <w:r>
              <w:rPr>
                <w:rFonts w:ascii="Calibri" w:cs="Calibri" w:eastAsia="Calibri" w:hAnsi="Calibri"/>
                <w:sz w:val="20"/>
                <w:szCs w:val="20"/>
              </w:rPr>
              <w:t xml:space="preserve">Per manufacturer recommendation</w:t>
            </w:r>
          </w:p>
        </w:tc>
        <w:tc>
          <w:tcPr>
            <w:tcW w:type="dxa" w:w="1760"/>
            <w:tcMar>
              <w:top w:type="dxa" w:w="60"/>
              <w:left w:type="dxa" w:w="80"/>
              <w:bottom w:type="dxa" w:w="60"/>
              <w:right w:type="dxa" w:w="80"/>
            </w:tcMar>
          </w:tcPr>
          <w:p>
            <w:r>
              <w:rPr>
                <w:rFonts w:ascii="Calibri" w:cs="Calibri" w:eastAsia="Calibri" w:hAnsi="Calibri"/>
                <w:sz w:val="20"/>
                <w:szCs w:val="20"/>
              </w:rPr>
              <w:t xml:space="preserve">Specialist contractor</w:t>
            </w:r>
          </w:p>
        </w:tc>
      </w:tr>
    </w:tbl>
    <w:p>
      <w:pPr>
        <w:spacing w:after="120" w:line="276"/>
      </w:pPr>
      <w:r>
        <w:rPr>
          <w:rFonts w:ascii="Calibri" w:cs="Calibri" w:eastAsia="Calibri" w:hAnsi="Calibri"/>
          <w:color w:val="000000"/>
          <w:sz w:val="22"/>
          <w:szCs w:val="22"/>
        </w:rPr>
        <w:t xml:space="preserve">The operator commits to maintaining the system to the TR19 Grease standard and to whatever deep-clean frequency that standard requires for the premises' usage category. Under TR19 Grease, deep-clean frequency is determined by daily cooking hours: heavy use (12+ hours per day) every six months; medium use (6 to 12 hours per day) annually; light use (2 to 6 hours per day) annually. The applicable category will be confirmed with the appointed specialist contractor once trading hours are established. The cleaning contractor will be appointed prior to opening.</w:t>
      </w:r>
    </w:p>
    <w:p>
      <w:pPr>
        <w:pStyle w:val="Heading1"/>
        <w:spacing w:after="120" w:before="240"/>
      </w:pPr>
      <w:r>
        <w:rPr>
          <w:rFonts w:ascii="Calibri" w:cs="Calibri" w:eastAsia="Calibri" w:hAnsi="Calibri"/>
          <w:b/>
          <w:bCs/>
          <w:color w:val="000000"/>
          <w:sz w:val="28"/>
          <w:szCs w:val="28"/>
        </w:rPr>
        <w:t xml:space="preserve">3. Maintenance and record keeping</w:t>
      </w:r>
    </w:p>
    <w:p>
      <w:pPr>
        <w:pStyle w:val="ListParagraph"/>
        <w:numPr>
          <w:ilvl w:val="0"/>
          <w:numId w:val="2"/>
        </w:numPr>
        <w:spacing w:after="80" w:line="276"/>
      </w:pPr>
      <w:r>
        <w:rPr>
          <w:rFonts w:ascii="Calibri" w:cs="Calibri" w:eastAsia="Calibri" w:hAnsi="Calibri"/>
          <w:color w:val="000000"/>
          <w:sz w:val="22"/>
          <w:szCs w:val="22"/>
        </w:rPr>
        <w:t xml:space="preserve">A planned preventative maintenance (PPM) schedule will be held for the extraction and abatement equipment, following manufacturer recommendations.</w:t>
      </w:r>
    </w:p>
    <w:p>
      <w:pPr>
        <w:pStyle w:val="ListParagraph"/>
        <w:numPr>
          <w:ilvl w:val="0"/>
          <w:numId w:val="2"/>
        </w:numPr>
        <w:spacing w:after="80" w:line="276"/>
      </w:pPr>
      <w:r>
        <w:rPr>
          <w:rFonts w:ascii="Calibri" w:cs="Calibri" w:eastAsia="Calibri" w:hAnsi="Calibri"/>
          <w:color w:val="000000"/>
          <w:sz w:val="22"/>
          <w:szCs w:val="22"/>
        </w:rPr>
        <w:t xml:space="preserve">Post-clean certificates and TR19 Grease reports (including before/after photographic evidence and access panel records) will be retained on site and made available to the Council's Environmental Protection team and to insurers on request.</w:t>
      </w:r>
    </w:p>
    <w:p>
      <w:pPr>
        <w:pStyle w:val="ListParagraph"/>
        <w:numPr>
          <w:ilvl w:val="0"/>
          <w:numId w:val="2"/>
        </w:numPr>
        <w:spacing w:after="80" w:line="276"/>
      </w:pPr>
      <w:r>
        <w:rPr>
          <w:rFonts w:ascii="Calibri" w:cs="Calibri" w:eastAsia="Calibri" w:hAnsi="Calibri"/>
          <w:color w:val="000000"/>
          <w:sz w:val="22"/>
          <w:szCs w:val="22"/>
        </w:rPr>
        <w:t xml:space="preserve">Any fault affecting the performance of the extraction or odour abatement system will be reported and rectified promptly; the system will not be operated in a degraded state that could give rise to odour or emissions nuisance.</w:t>
      </w:r>
    </w:p>
    <w:p>
      <w:pPr>
        <w:pStyle w:val="ListParagraph"/>
        <w:numPr>
          <w:ilvl w:val="0"/>
          <w:numId w:val="2"/>
        </w:numPr>
        <w:spacing w:after="80" w:line="276"/>
      </w:pPr>
      <w:r>
        <w:rPr>
          <w:rFonts w:ascii="Calibri" w:cs="Calibri" w:eastAsia="Calibri" w:hAnsi="Calibri"/>
          <w:color w:val="000000"/>
          <w:sz w:val="22"/>
          <w:szCs w:val="22"/>
        </w:rPr>
        <w:t xml:space="preserve">Filter changes and in-house cleaning tasks will be logged as part of the kitchen's daily and weekly compliance checklists.</w:t>
      </w:r>
    </w:p>
    <w:p>
      <w:pPr>
        <w:pStyle w:val="Heading1"/>
        <w:spacing w:after="120" w:before="240"/>
      </w:pPr>
      <w:r>
        <w:rPr>
          <w:rFonts w:ascii="Calibri" w:cs="Calibri" w:eastAsia="Calibri" w:hAnsi="Calibri"/>
          <w:b/>
          <w:bCs/>
          <w:color w:val="000000"/>
          <w:sz w:val="28"/>
          <w:szCs w:val="28"/>
        </w:rPr>
        <w:t xml:space="preserve">4. Responsibility</w:t>
      </w:r>
    </w:p>
    <w:p>
      <w:pPr>
        <w:spacing w:after="120" w:line="276"/>
      </w:pPr>
      <w:r>
        <w:rPr>
          <w:rFonts w:ascii="Calibri" w:cs="Calibri" w:eastAsia="Calibri" w:hAnsi="Calibri"/>
          <w:color w:val="000000"/>
          <w:sz w:val="22"/>
          <w:szCs w:val="22"/>
        </w:rPr>
        <w:t xml:space="preserve">Overall responsibility for the extraction cleaning and maintenance regime sits with the Head of Kitchen, with the Creative Director holding ultimate accountability for kitchen compliance. Records are subject to periodic review by management.</w:t>
      </w:r>
    </w:p>
    <w:sectPr>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FBF" w:sz="4" w:space="6"/>
      </w:pBdr>
    </w:pPr>
    <w:r>
      <w:rPr>
        <w:rFonts w:ascii="Calibri" w:cs="Calibri" w:eastAsia="Calibri" w:hAnsi="Calibri"/>
        <w:color w:val="595959"/>
        <w:sz w:val="16"/>
        <w:szCs w:val="16"/>
      </w:rPr>
      <w:t xml:space="preserve">Proloco, 74 Great Ancoats Street, Manchester M4 5GU</w:t>
    </w:r>
    <w:r>
      <w:rPr>
        <w:rFonts w:ascii="Calibri" w:cs="Calibri" w:eastAsia="Calibri" w:hAnsi="Calibri"/>
        <w:color w:val="595959"/>
        <w:sz w:val="16"/>
        <w:szCs w:val="16"/>
      </w:rPr>
      <w:t xml:space="preserve">          Page </w:t>
    </w:r>
    <w:r>
      <w:rPr>
        <w:rFonts w:ascii="Calibri" w:cs="Calibri" w:eastAsia="Calibri" w:hAnsi="Calibri"/>
        <w:color w:val="5959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lvl w:ilvl="1" w15:tentative="1">
      <w:start w:val="1"/>
      <w:numFmt w:val="bullet"/>
      <w:lvlText w:val="–"/>
      <w:lvlJc w:val="left"/>
      <w:pPr>
        <w:ind w:left="72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2026-07-09T06:38:24.988Z</dcterms:created>
  <dcterms:modified xsi:type="dcterms:W3CDTF">2026-07-09T06:38:25.009Z</dcterms:modified>
</cp:coreProperties>
</file>

<file path=docProps/custom.xml><?xml version="1.0" encoding="utf-8"?>
<Properties xmlns="http://schemas.openxmlformats.org/officeDocument/2006/custom-properties" xmlns:vt="http://schemas.openxmlformats.org/officeDocument/2006/docPropsVTypes"/>
</file>