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25A2" w14:textId="74014882" w:rsidR="00A256B7" w:rsidRPr="005A1BD6" w:rsidRDefault="00CD6827">
      <w:pPr>
        <w:rPr>
          <w:rFonts w:ascii="Calibri" w:hAnsi="Calibri" w:cs="Calibri"/>
          <w:b/>
          <w:bCs/>
          <w:sz w:val="22"/>
          <w:szCs w:val="22"/>
          <w:u w:val="single"/>
        </w:rPr>
      </w:pPr>
      <w:r>
        <w:rPr>
          <w:rFonts w:ascii="Calibri" w:hAnsi="Calibri" w:cs="Calibri"/>
          <w:b/>
          <w:bCs/>
          <w:sz w:val="22"/>
          <w:szCs w:val="22"/>
          <w:u w:val="single"/>
        </w:rPr>
        <w:t>Peter House, Manchester</w:t>
      </w:r>
      <w:r w:rsidR="00496AB5" w:rsidRPr="005A1BD6">
        <w:rPr>
          <w:rFonts w:ascii="Calibri" w:hAnsi="Calibri" w:cs="Calibri"/>
          <w:b/>
          <w:bCs/>
          <w:sz w:val="22"/>
          <w:szCs w:val="22"/>
          <w:u w:val="single"/>
        </w:rPr>
        <w:t xml:space="preserve"> – Discounted Options</w:t>
      </w:r>
    </w:p>
    <w:p w14:paraId="213FD097" w14:textId="39A1B704" w:rsidR="00496AB5" w:rsidRDefault="00F54AA7">
      <w:pPr>
        <w:rPr>
          <w:rFonts w:ascii="Calibri" w:hAnsi="Calibri" w:cs="Calibri"/>
          <w:sz w:val="22"/>
          <w:szCs w:val="22"/>
        </w:rPr>
      </w:pPr>
      <w:r w:rsidRPr="00F54AA7">
        <w:rPr>
          <w:rFonts w:ascii="Calibri" w:hAnsi="Calibri" w:cs="Calibri"/>
          <w:noProof/>
          <w:sz w:val="22"/>
          <w:szCs w:val="22"/>
        </w:rPr>
        <w:drawing>
          <wp:inline distT="0" distB="0" distL="0" distR="0" wp14:anchorId="0BF6E634" wp14:editId="3ECB6A8B">
            <wp:extent cx="5731510" cy="4088130"/>
            <wp:effectExtent l="0" t="0" r="2540" b="7620"/>
            <wp:docPr id="90123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4103" name=""/>
                    <pic:cNvPicPr/>
                  </pic:nvPicPr>
                  <pic:blipFill>
                    <a:blip r:embed="rId5"/>
                    <a:stretch>
                      <a:fillRect/>
                    </a:stretch>
                  </pic:blipFill>
                  <pic:spPr>
                    <a:xfrm>
                      <a:off x="0" y="0"/>
                      <a:ext cx="5731510" cy="4088130"/>
                    </a:xfrm>
                    <a:prstGeom prst="rect">
                      <a:avLst/>
                    </a:prstGeom>
                  </pic:spPr>
                </pic:pic>
              </a:graphicData>
            </a:graphic>
          </wp:inline>
        </w:drawing>
      </w:r>
    </w:p>
    <w:p w14:paraId="0599A24E" w14:textId="4C8197AE" w:rsidR="00496AB5" w:rsidRDefault="001E4AD4">
      <w:pPr>
        <w:rPr>
          <w:rFonts w:ascii="Calibri" w:hAnsi="Calibri" w:cs="Calibri"/>
          <w:sz w:val="22"/>
          <w:szCs w:val="22"/>
        </w:rPr>
      </w:pPr>
      <w:r>
        <w:rPr>
          <w:rFonts w:ascii="Calibri" w:hAnsi="Calibri" w:cs="Calibri"/>
          <w:sz w:val="22"/>
          <w:szCs w:val="22"/>
        </w:rPr>
        <w:t xml:space="preserve">NGR Link: </w:t>
      </w:r>
      <w:hyperlink r:id="rId6" w:history="1">
        <w:r>
          <w:rPr>
            <w:rStyle w:val="Hyperlink"/>
            <w:rFonts w:ascii="Calibri" w:hAnsi="Calibri" w:cs="Calibri"/>
            <w:sz w:val="22"/>
            <w:szCs w:val="22"/>
          </w:rPr>
          <w:t>NGR Link</w:t>
        </w:r>
      </w:hyperlink>
    </w:p>
    <w:p w14:paraId="41D8B684" w14:textId="77777777" w:rsidR="001E4AD4" w:rsidRDefault="001E4AD4">
      <w:pPr>
        <w:rPr>
          <w:rFonts w:ascii="Calibri" w:hAnsi="Calibri" w:cs="Calibri"/>
          <w:sz w:val="22"/>
          <w:szCs w:val="22"/>
        </w:rPr>
      </w:pPr>
    </w:p>
    <w:p w14:paraId="438652FE" w14:textId="66894282" w:rsidR="00496AB5" w:rsidRDefault="00496AB5">
      <w:pPr>
        <w:rPr>
          <w:rFonts w:ascii="Calibri" w:hAnsi="Calibri" w:cs="Calibri"/>
          <w:sz w:val="22"/>
          <w:szCs w:val="22"/>
        </w:rPr>
      </w:pPr>
      <w:r>
        <w:rPr>
          <w:rFonts w:ascii="Calibri" w:hAnsi="Calibri" w:cs="Calibri"/>
          <w:sz w:val="22"/>
          <w:szCs w:val="22"/>
        </w:rPr>
        <w:t>Discounted Options</w:t>
      </w:r>
    </w:p>
    <w:p w14:paraId="5CD33855" w14:textId="5C7230AF" w:rsidR="00496AB5" w:rsidRDefault="00496AB5" w:rsidP="00496AB5">
      <w:pPr>
        <w:rPr>
          <w:rFonts w:ascii="Calibri" w:hAnsi="Calibri" w:cs="Calibri"/>
          <w:sz w:val="22"/>
          <w:szCs w:val="22"/>
        </w:rPr>
      </w:pPr>
      <w:r w:rsidRPr="00496AB5">
        <w:rPr>
          <w:rFonts w:ascii="Calibri" w:hAnsi="Calibri" w:cs="Calibri"/>
          <w:sz w:val="22"/>
          <w:szCs w:val="22"/>
        </w:rPr>
        <w:t>1)</w:t>
      </w:r>
      <w:r>
        <w:rPr>
          <w:rFonts w:ascii="Calibri" w:hAnsi="Calibri" w:cs="Calibri"/>
          <w:sz w:val="22"/>
          <w:szCs w:val="22"/>
        </w:rPr>
        <w:t xml:space="preserve"> </w:t>
      </w:r>
      <w:r w:rsidR="00CD6827">
        <w:rPr>
          <w:rFonts w:ascii="Calibri" w:hAnsi="Calibri" w:cs="Calibri"/>
          <w:sz w:val="22"/>
          <w:szCs w:val="22"/>
        </w:rPr>
        <w:t>The Lexicon</w:t>
      </w:r>
      <w:r>
        <w:rPr>
          <w:rFonts w:ascii="Calibri" w:hAnsi="Calibri" w:cs="Calibri"/>
          <w:sz w:val="22"/>
          <w:szCs w:val="22"/>
        </w:rPr>
        <w:t xml:space="preserve"> – NGR: </w:t>
      </w:r>
      <w:r w:rsidR="00CD6827" w:rsidRPr="00CD6827">
        <w:rPr>
          <w:rFonts w:ascii="Calibri" w:hAnsi="Calibri" w:cs="Calibri"/>
          <w:sz w:val="22"/>
          <w:szCs w:val="22"/>
        </w:rPr>
        <w:t>383779 , 397953</w:t>
      </w:r>
      <w:r>
        <w:rPr>
          <w:rFonts w:ascii="Calibri" w:hAnsi="Calibri" w:cs="Calibri"/>
          <w:sz w:val="22"/>
          <w:szCs w:val="22"/>
        </w:rPr>
        <w:t xml:space="preserve">. </w:t>
      </w:r>
      <w:r w:rsidR="00A97200">
        <w:rPr>
          <w:rFonts w:ascii="Calibri" w:hAnsi="Calibri" w:cs="Calibri"/>
          <w:sz w:val="22"/>
          <w:szCs w:val="22"/>
        </w:rPr>
        <w:t xml:space="preserve">This is NOT a discounted option – a proposal on this building is being progressed. </w:t>
      </w:r>
    </w:p>
    <w:p w14:paraId="0CA99C6B" w14:textId="2030B00F" w:rsidR="00496AB5" w:rsidRDefault="00496AB5" w:rsidP="00496AB5">
      <w:pPr>
        <w:rPr>
          <w:rFonts w:ascii="Calibri" w:hAnsi="Calibri" w:cs="Calibri"/>
          <w:sz w:val="22"/>
          <w:szCs w:val="22"/>
        </w:rPr>
      </w:pPr>
      <w:r>
        <w:rPr>
          <w:rFonts w:ascii="Calibri" w:hAnsi="Calibri" w:cs="Calibri"/>
          <w:sz w:val="22"/>
          <w:szCs w:val="22"/>
        </w:rPr>
        <w:t xml:space="preserve">2) </w:t>
      </w:r>
      <w:r w:rsidR="00CD6827">
        <w:rPr>
          <w:rFonts w:ascii="Calibri" w:hAnsi="Calibri" w:cs="Calibri"/>
          <w:sz w:val="22"/>
          <w:szCs w:val="22"/>
        </w:rPr>
        <w:t>Manchester Central Library</w:t>
      </w:r>
      <w:r>
        <w:rPr>
          <w:rFonts w:ascii="Calibri" w:hAnsi="Calibri" w:cs="Calibri"/>
          <w:sz w:val="22"/>
          <w:szCs w:val="22"/>
        </w:rPr>
        <w:t xml:space="preserve"> – NGR: </w:t>
      </w:r>
      <w:r w:rsidR="00CD6827" w:rsidRPr="00CD6827">
        <w:rPr>
          <w:rFonts w:ascii="Calibri" w:hAnsi="Calibri" w:cs="Calibri"/>
          <w:sz w:val="22"/>
          <w:szCs w:val="22"/>
        </w:rPr>
        <w:t>383844 , 397961</w:t>
      </w:r>
      <w:r>
        <w:rPr>
          <w:rFonts w:ascii="Calibri" w:hAnsi="Calibri" w:cs="Calibri"/>
          <w:sz w:val="22"/>
          <w:szCs w:val="22"/>
        </w:rPr>
        <w:t xml:space="preserve">. </w:t>
      </w:r>
      <w:r w:rsidR="00CD6827">
        <w:rPr>
          <w:rFonts w:ascii="Calibri" w:hAnsi="Calibri" w:cs="Calibri"/>
          <w:sz w:val="22"/>
          <w:szCs w:val="22"/>
        </w:rPr>
        <w:t xml:space="preserve">Discounted for obvious reasons – rooftop unsuitable. Grade II* listed. </w:t>
      </w:r>
      <w:r>
        <w:rPr>
          <w:rFonts w:ascii="Calibri" w:hAnsi="Calibri" w:cs="Calibri"/>
          <w:sz w:val="22"/>
          <w:szCs w:val="22"/>
        </w:rPr>
        <w:t xml:space="preserve"> </w:t>
      </w:r>
    </w:p>
    <w:p w14:paraId="6B7CC80B" w14:textId="02DA53B1" w:rsidR="00496AB5" w:rsidRDefault="00496AB5" w:rsidP="00496AB5">
      <w:pPr>
        <w:rPr>
          <w:rFonts w:ascii="Calibri" w:hAnsi="Calibri" w:cs="Calibri"/>
          <w:sz w:val="22"/>
          <w:szCs w:val="22"/>
        </w:rPr>
      </w:pPr>
      <w:r>
        <w:rPr>
          <w:rFonts w:ascii="Calibri" w:hAnsi="Calibri" w:cs="Calibri"/>
          <w:sz w:val="22"/>
          <w:szCs w:val="22"/>
        </w:rPr>
        <w:t xml:space="preserve">3) </w:t>
      </w:r>
      <w:r w:rsidR="00CD6827">
        <w:rPr>
          <w:rFonts w:ascii="Calibri" w:hAnsi="Calibri" w:cs="Calibri"/>
          <w:sz w:val="22"/>
          <w:szCs w:val="22"/>
        </w:rPr>
        <w:t>The Midland Hotel</w:t>
      </w:r>
      <w:r>
        <w:rPr>
          <w:rFonts w:ascii="Calibri" w:hAnsi="Calibri" w:cs="Calibri"/>
          <w:sz w:val="22"/>
          <w:szCs w:val="22"/>
        </w:rPr>
        <w:t xml:space="preserve"> – NGR: </w:t>
      </w:r>
      <w:r w:rsidR="00CD6827" w:rsidRPr="00CD6827">
        <w:rPr>
          <w:rFonts w:ascii="Calibri" w:hAnsi="Calibri" w:cs="Calibri"/>
          <w:sz w:val="22"/>
          <w:szCs w:val="22"/>
        </w:rPr>
        <w:t>383807 , 397878</w:t>
      </w:r>
      <w:r>
        <w:rPr>
          <w:rFonts w:ascii="Calibri" w:hAnsi="Calibri" w:cs="Calibri"/>
          <w:sz w:val="22"/>
          <w:szCs w:val="22"/>
        </w:rPr>
        <w:t xml:space="preserve">. </w:t>
      </w:r>
      <w:r w:rsidR="00CD6827">
        <w:rPr>
          <w:rFonts w:ascii="Calibri" w:hAnsi="Calibri" w:cs="Calibri"/>
          <w:sz w:val="22"/>
          <w:szCs w:val="22"/>
        </w:rPr>
        <w:t xml:space="preserve">Prominent Hotel building discounted due to the rooftop being unsuitable to house equipment. The building is also noted to be Grade II* Listed. </w:t>
      </w:r>
      <w:r>
        <w:rPr>
          <w:rFonts w:ascii="Calibri" w:hAnsi="Calibri" w:cs="Calibri"/>
          <w:sz w:val="22"/>
          <w:szCs w:val="22"/>
        </w:rPr>
        <w:t xml:space="preserve"> </w:t>
      </w:r>
    </w:p>
    <w:p w14:paraId="3E1E6127" w14:textId="36991274" w:rsidR="00496AB5" w:rsidRDefault="00496AB5" w:rsidP="00496AB5">
      <w:pPr>
        <w:rPr>
          <w:rFonts w:ascii="Calibri" w:hAnsi="Calibri" w:cs="Calibri"/>
          <w:sz w:val="22"/>
          <w:szCs w:val="22"/>
        </w:rPr>
      </w:pPr>
      <w:r>
        <w:rPr>
          <w:rFonts w:ascii="Calibri" w:hAnsi="Calibri" w:cs="Calibri"/>
          <w:sz w:val="22"/>
          <w:szCs w:val="22"/>
        </w:rPr>
        <w:t xml:space="preserve">4) </w:t>
      </w:r>
      <w:r w:rsidR="00CD6827">
        <w:rPr>
          <w:rFonts w:ascii="Calibri" w:hAnsi="Calibri" w:cs="Calibri"/>
          <w:sz w:val="22"/>
          <w:szCs w:val="22"/>
        </w:rPr>
        <w:t>St Georges House</w:t>
      </w:r>
      <w:r>
        <w:rPr>
          <w:rFonts w:ascii="Calibri" w:hAnsi="Calibri" w:cs="Calibri"/>
          <w:sz w:val="22"/>
          <w:szCs w:val="22"/>
        </w:rPr>
        <w:t xml:space="preserve"> – NGR: </w:t>
      </w:r>
      <w:r w:rsidR="00CD6827" w:rsidRPr="00CD6827">
        <w:rPr>
          <w:rFonts w:ascii="Calibri" w:hAnsi="Calibri" w:cs="Calibri"/>
          <w:sz w:val="22"/>
          <w:szCs w:val="22"/>
        </w:rPr>
        <w:t>383752 , 397888</w:t>
      </w:r>
      <w:r>
        <w:rPr>
          <w:rFonts w:ascii="Calibri" w:hAnsi="Calibri" w:cs="Calibri"/>
          <w:sz w:val="22"/>
          <w:szCs w:val="22"/>
        </w:rPr>
        <w:t xml:space="preserve">. </w:t>
      </w:r>
      <w:r w:rsidR="00CD6827">
        <w:rPr>
          <w:rFonts w:ascii="Calibri" w:hAnsi="Calibri" w:cs="Calibri"/>
          <w:sz w:val="22"/>
          <w:szCs w:val="22"/>
        </w:rPr>
        <w:t xml:space="preserve">Relatively low building compared to the surrounding properties. A site in this location would be partial blocked by the Midland Hotel, and potentially create ICNIRP issues. Unable to progress. </w:t>
      </w:r>
      <w:r>
        <w:rPr>
          <w:rFonts w:ascii="Calibri" w:hAnsi="Calibri" w:cs="Calibri"/>
          <w:sz w:val="22"/>
          <w:szCs w:val="22"/>
        </w:rPr>
        <w:t xml:space="preserve"> </w:t>
      </w:r>
    </w:p>
    <w:p w14:paraId="34E22597" w14:textId="4BD9DE61" w:rsidR="00496AB5" w:rsidRDefault="00496AB5" w:rsidP="00496AB5">
      <w:pPr>
        <w:rPr>
          <w:rFonts w:ascii="Calibri" w:hAnsi="Calibri" w:cs="Calibri"/>
          <w:sz w:val="22"/>
          <w:szCs w:val="22"/>
        </w:rPr>
      </w:pPr>
      <w:r>
        <w:rPr>
          <w:rFonts w:ascii="Calibri" w:hAnsi="Calibri" w:cs="Calibri"/>
          <w:sz w:val="22"/>
          <w:szCs w:val="22"/>
        </w:rPr>
        <w:t xml:space="preserve">5) </w:t>
      </w:r>
      <w:r w:rsidR="00CD6827">
        <w:rPr>
          <w:rFonts w:ascii="Calibri" w:hAnsi="Calibri" w:cs="Calibri"/>
          <w:sz w:val="22"/>
          <w:szCs w:val="22"/>
        </w:rPr>
        <w:t>Theatre Royal</w:t>
      </w:r>
      <w:r>
        <w:rPr>
          <w:rFonts w:ascii="Calibri" w:hAnsi="Calibri" w:cs="Calibri"/>
          <w:sz w:val="22"/>
          <w:szCs w:val="22"/>
        </w:rPr>
        <w:t xml:space="preserve"> – NGR: </w:t>
      </w:r>
      <w:r w:rsidR="00CD6827" w:rsidRPr="00CD6827">
        <w:rPr>
          <w:rFonts w:ascii="Calibri" w:hAnsi="Calibri" w:cs="Calibri"/>
          <w:sz w:val="22"/>
          <w:szCs w:val="22"/>
        </w:rPr>
        <w:t>383734 , 397916</w:t>
      </w:r>
      <w:r>
        <w:rPr>
          <w:rFonts w:ascii="Calibri" w:hAnsi="Calibri" w:cs="Calibri"/>
          <w:sz w:val="22"/>
          <w:szCs w:val="22"/>
        </w:rPr>
        <w:t xml:space="preserve">. </w:t>
      </w:r>
      <w:r w:rsidR="00CD6827">
        <w:rPr>
          <w:rFonts w:ascii="Calibri" w:hAnsi="Calibri" w:cs="Calibri"/>
          <w:sz w:val="22"/>
          <w:szCs w:val="22"/>
        </w:rPr>
        <w:t>Similar to the above. One of the lowest buildings in the area. Unable to consider due to taller buildings either side</w:t>
      </w:r>
      <w:r w:rsidR="00B36DF6">
        <w:rPr>
          <w:rFonts w:ascii="Calibri" w:hAnsi="Calibri" w:cs="Calibri"/>
          <w:sz w:val="22"/>
          <w:szCs w:val="22"/>
        </w:rPr>
        <w:t xml:space="preserve">, potentially blocking coverage and creating ICNIRP issues. </w:t>
      </w:r>
    </w:p>
    <w:p w14:paraId="0148A631" w14:textId="18C34BCB" w:rsidR="00496AB5" w:rsidRDefault="00496AB5" w:rsidP="00496AB5">
      <w:pPr>
        <w:rPr>
          <w:rFonts w:ascii="Calibri" w:hAnsi="Calibri" w:cs="Calibri"/>
          <w:sz w:val="22"/>
          <w:szCs w:val="22"/>
        </w:rPr>
      </w:pPr>
      <w:r>
        <w:rPr>
          <w:rFonts w:ascii="Calibri" w:hAnsi="Calibri" w:cs="Calibri"/>
          <w:sz w:val="22"/>
          <w:szCs w:val="22"/>
        </w:rPr>
        <w:lastRenderedPageBreak/>
        <w:t xml:space="preserve">6) </w:t>
      </w:r>
      <w:r w:rsidR="00B36DF6">
        <w:rPr>
          <w:rFonts w:ascii="Calibri" w:hAnsi="Calibri" w:cs="Calibri"/>
          <w:sz w:val="22"/>
          <w:szCs w:val="22"/>
        </w:rPr>
        <w:t>The Edwardian Hotel</w:t>
      </w:r>
      <w:r>
        <w:rPr>
          <w:rFonts w:ascii="Calibri" w:hAnsi="Calibri" w:cs="Calibri"/>
          <w:sz w:val="22"/>
          <w:szCs w:val="22"/>
        </w:rPr>
        <w:t xml:space="preserve"> – NGR: </w:t>
      </w:r>
      <w:r w:rsidR="00B36DF6" w:rsidRPr="00B36DF6">
        <w:rPr>
          <w:rFonts w:ascii="Calibri" w:hAnsi="Calibri" w:cs="Calibri"/>
          <w:sz w:val="22"/>
          <w:szCs w:val="22"/>
        </w:rPr>
        <w:t>383701 , 397909</w:t>
      </w:r>
      <w:r>
        <w:rPr>
          <w:rFonts w:ascii="Calibri" w:hAnsi="Calibri" w:cs="Calibri"/>
          <w:sz w:val="22"/>
          <w:szCs w:val="22"/>
        </w:rPr>
        <w:t xml:space="preserve">.  </w:t>
      </w:r>
      <w:r w:rsidR="00B36DF6">
        <w:rPr>
          <w:rFonts w:ascii="Calibri" w:hAnsi="Calibri" w:cs="Calibri"/>
          <w:sz w:val="22"/>
          <w:szCs w:val="22"/>
        </w:rPr>
        <w:t xml:space="preserve">We have surveyed this rooftop previously and found it difficult to design due to parapet wall around the rooftop, together with limited space for equipment without blocking accesses. Building is also noted to be Grade II* listed. </w:t>
      </w:r>
    </w:p>
    <w:p w14:paraId="46A17BF8" w14:textId="3C2906E9" w:rsidR="00496AB5" w:rsidRDefault="00496AB5" w:rsidP="00496AB5">
      <w:pPr>
        <w:rPr>
          <w:rFonts w:ascii="Calibri" w:hAnsi="Calibri" w:cs="Calibri"/>
          <w:sz w:val="22"/>
          <w:szCs w:val="22"/>
        </w:rPr>
      </w:pPr>
      <w:r>
        <w:rPr>
          <w:rFonts w:ascii="Calibri" w:hAnsi="Calibri" w:cs="Calibri"/>
          <w:sz w:val="22"/>
          <w:szCs w:val="22"/>
        </w:rPr>
        <w:t xml:space="preserve">7) </w:t>
      </w:r>
      <w:r w:rsidR="00B36DF6">
        <w:rPr>
          <w:rFonts w:ascii="Calibri" w:hAnsi="Calibri" w:cs="Calibri"/>
          <w:sz w:val="22"/>
          <w:szCs w:val="22"/>
        </w:rPr>
        <w:t>South Central</w:t>
      </w:r>
      <w:r>
        <w:rPr>
          <w:rFonts w:ascii="Calibri" w:hAnsi="Calibri" w:cs="Calibri"/>
          <w:sz w:val="22"/>
          <w:szCs w:val="22"/>
        </w:rPr>
        <w:t xml:space="preserve"> – NGR: </w:t>
      </w:r>
      <w:r w:rsidR="00B36DF6" w:rsidRPr="00B36DF6">
        <w:rPr>
          <w:rFonts w:ascii="Calibri" w:hAnsi="Calibri" w:cs="Calibri"/>
          <w:sz w:val="22"/>
          <w:szCs w:val="22"/>
        </w:rPr>
        <w:t>383585 , 397995</w:t>
      </w:r>
      <w:r>
        <w:rPr>
          <w:rFonts w:ascii="Calibri" w:hAnsi="Calibri" w:cs="Calibri"/>
          <w:sz w:val="22"/>
          <w:szCs w:val="22"/>
        </w:rPr>
        <w:t xml:space="preserve">. </w:t>
      </w:r>
      <w:r w:rsidR="00B36DF6">
        <w:rPr>
          <w:rFonts w:ascii="Calibri" w:hAnsi="Calibri" w:cs="Calibri"/>
          <w:sz w:val="22"/>
          <w:szCs w:val="22"/>
        </w:rPr>
        <w:t xml:space="preserve">Rooftop design unsuitable to house telecoms equipment. </w:t>
      </w:r>
      <w:r>
        <w:rPr>
          <w:rFonts w:ascii="Calibri" w:hAnsi="Calibri" w:cs="Calibri"/>
          <w:sz w:val="22"/>
          <w:szCs w:val="22"/>
        </w:rPr>
        <w:t xml:space="preserve"> </w:t>
      </w:r>
    </w:p>
    <w:p w14:paraId="1E108CA1" w14:textId="405B5D3D" w:rsidR="00496AB5" w:rsidRDefault="001E4AD4" w:rsidP="00496AB5">
      <w:pPr>
        <w:rPr>
          <w:rFonts w:ascii="Calibri" w:hAnsi="Calibri" w:cs="Calibri"/>
          <w:sz w:val="22"/>
          <w:szCs w:val="22"/>
        </w:rPr>
      </w:pPr>
      <w:r>
        <w:rPr>
          <w:rFonts w:ascii="Calibri" w:hAnsi="Calibri" w:cs="Calibri"/>
          <w:sz w:val="22"/>
          <w:szCs w:val="22"/>
        </w:rPr>
        <w:t xml:space="preserve">8) </w:t>
      </w:r>
      <w:r w:rsidR="00B36DF6" w:rsidRPr="00B36DF6">
        <w:rPr>
          <w:rFonts w:ascii="Calibri" w:hAnsi="Calibri" w:cs="Calibri"/>
          <w:sz w:val="22"/>
          <w:szCs w:val="22"/>
        </w:rPr>
        <w:t>27 Peter Street</w:t>
      </w:r>
      <w:r w:rsidR="00B36DF6">
        <w:rPr>
          <w:rFonts w:ascii="Calibri" w:hAnsi="Calibri" w:cs="Calibri"/>
          <w:sz w:val="22"/>
          <w:szCs w:val="22"/>
        </w:rPr>
        <w:t xml:space="preserve"> </w:t>
      </w:r>
      <w:r>
        <w:rPr>
          <w:rFonts w:ascii="Calibri" w:hAnsi="Calibri" w:cs="Calibri"/>
          <w:sz w:val="22"/>
          <w:szCs w:val="22"/>
        </w:rPr>
        <w:t xml:space="preserve">– NGR: </w:t>
      </w:r>
      <w:r w:rsidR="00B36DF6" w:rsidRPr="00B36DF6">
        <w:rPr>
          <w:rFonts w:ascii="Calibri" w:hAnsi="Calibri" w:cs="Calibri"/>
          <w:sz w:val="22"/>
          <w:szCs w:val="22"/>
        </w:rPr>
        <w:t>383644 , 397980</w:t>
      </w:r>
      <w:r>
        <w:rPr>
          <w:rFonts w:ascii="Calibri" w:hAnsi="Calibri" w:cs="Calibri"/>
          <w:sz w:val="22"/>
          <w:szCs w:val="22"/>
        </w:rPr>
        <w:t xml:space="preserve">. </w:t>
      </w:r>
      <w:r w:rsidR="00B36DF6">
        <w:rPr>
          <w:rFonts w:ascii="Calibri" w:hAnsi="Calibri" w:cs="Calibri"/>
          <w:sz w:val="22"/>
          <w:szCs w:val="22"/>
        </w:rPr>
        <w:t xml:space="preserve">Grade II listed building unsuitable to house equipment on the rooftop. The ‘former’ clock tower is also unsuitable. </w:t>
      </w:r>
    </w:p>
    <w:p w14:paraId="6BDB6770" w14:textId="38C6DCDD" w:rsidR="001E4AD4" w:rsidRDefault="001E4AD4" w:rsidP="00496AB5">
      <w:pPr>
        <w:rPr>
          <w:rFonts w:ascii="Calibri" w:hAnsi="Calibri" w:cs="Calibri"/>
          <w:sz w:val="22"/>
          <w:szCs w:val="22"/>
        </w:rPr>
      </w:pPr>
      <w:r>
        <w:rPr>
          <w:rFonts w:ascii="Calibri" w:hAnsi="Calibri" w:cs="Calibri"/>
          <w:sz w:val="22"/>
          <w:szCs w:val="22"/>
        </w:rPr>
        <w:t xml:space="preserve">9) </w:t>
      </w:r>
      <w:r w:rsidR="00B36DF6" w:rsidRPr="00B36DF6">
        <w:rPr>
          <w:rFonts w:ascii="Calibri" w:hAnsi="Calibri" w:cs="Calibri"/>
          <w:sz w:val="22"/>
          <w:szCs w:val="22"/>
        </w:rPr>
        <w:t>4 Mount Street</w:t>
      </w:r>
      <w:r w:rsidR="00B36DF6">
        <w:rPr>
          <w:rFonts w:ascii="Calibri" w:hAnsi="Calibri" w:cs="Calibri"/>
          <w:sz w:val="22"/>
          <w:szCs w:val="22"/>
        </w:rPr>
        <w:t xml:space="preserve"> </w:t>
      </w:r>
      <w:r>
        <w:rPr>
          <w:rFonts w:ascii="Calibri" w:hAnsi="Calibri" w:cs="Calibri"/>
          <w:sz w:val="22"/>
          <w:szCs w:val="22"/>
        </w:rPr>
        <w:t xml:space="preserve">– NGR: </w:t>
      </w:r>
      <w:r w:rsidR="00B36DF6" w:rsidRPr="00B36DF6">
        <w:rPr>
          <w:rFonts w:ascii="Calibri" w:hAnsi="Calibri" w:cs="Calibri"/>
          <w:sz w:val="22"/>
          <w:szCs w:val="22"/>
        </w:rPr>
        <w:t>383800 , 398016</w:t>
      </w:r>
      <w:r>
        <w:rPr>
          <w:rFonts w:ascii="Calibri" w:hAnsi="Calibri" w:cs="Calibri"/>
          <w:sz w:val="22"/>
          <w:szCs w:val="22"/>
        </w:rPr>
        <w:t xml:space="preserve">. </w:t>
      </w:r>
      <w:r w:rsidR="00B36DF6">
        <w:rPr>
          <w:rFonts w:ascii="Calibri" w:hAnsi="Calibri" w:cs="Calibri"/>
          <w:sz w:val="22"/>
          <w:szCs w:val="22"/>
        </w:rPr>
        <w:t xml:space="preserve">Another tall building which could potentially provide the height required, however the rooftop is unsuitable to house equipment so unable to consider. Grade II* Listed also.  </w:t>
      </w:r>
      <w:r>
        <w:rPr>
          <w:rFonts w:ascii="Calibri" w:hAnsi="Calibri" w:cs="Calibri"/>
          <w:sz w:val="22"/>
          <w:szCs w:val="22"/>
        </w:rPr>
        <w:t xml:space="preserve"> </w:t>
      </w:r>
    </w:p>
    <w:p w14:paraId="219F8C69" w14:textId="31F46D32" w:rsidR="001E4AD4" w:rsidRPr="00496AB5" w:rsidRDefault="001E4AD4" w:rsidP="00496AB5">
      <w:pPr>
        <w:rPr>
          <w:rFonts w:ascii="Calibri" w:hAnsi="Calibri" w:cs="Calibri"/>
          <w:sz w:val="22"/>
          <w:szCs w:val="22"/>
        </w:rPr>
      </w:pPr>
      <w:r>
        <w:rPr>
          <w:rFonts w:ascii="Calibri" w:hAnsi="Calibri" w:cs="Calibri"/>
          <w:sz w:val="22"/>
          <w:szCs w:val="22"/>
        </w:rPr>
        <w:t xml:space="preserve">10) </w:t>
      </w:r>
      <w:r w:rsidR="00B36DF6">
        <w:rPr>
          <w:rFonts w:ascii="Calibri" w:hAnsi="Calibri" w:cs="Calibri"/>
          <w:sz w:val="22"/>
          <w:szCs w:val="22"/>
        </w:rPr>
        <w:t>Town Hall</w:t>
      </w:r>
      <w:r>
        <w:rPr>
          <w:rFonts w:ascii="Calibri" w:hAnsi="Calibri" w:cs="Calibri"/>
          <w:sz w:val="22"/>
          <w:szCs w:val="22"/>
        </w:rPr>
        <w:t xml:space="preserve"> – NGR: </w:t>
      </w:r>
      <w:r w:rsidR="00B36DF6" w:rsidRPr="00B36DF6">
        <w:rPr>
          <w:rFonts w:ascii="Calibri" w:hAnsi="Calibri" w:cs="Calibri"/>
          <w:sz w:val="22"/>
          <w:szCs w:val="22"/>
        </w:rPr>
        <w:t>383871 , 398015</w:t>
      </w:r>
      <w:r>
        <w:rPr>
          <w:rFonts w:ascii="Calibri" w:hAnsi="Calibri" w:cs="Calibri"/>
          <w:sz w:val="22"/>
          <w:szCs w:val="22"/>
        </w:rPr>
        <w:t xml:space="preserve">. </w:t>
      </w:r>
      <w:r w:rsidR="00B36DF6">
        <w:rPr>
          <w:rFonts w:ascii="Calibri" w:hAnsi="Calibri" w:cs="Calibri"/>
          <w:sz w:val="22"/>
          <w:szCs w:val="22"/>
        </w:rPr>
        <w:t xml:space="preserve">Town Hall extension. Grade II* listed and unsuitable rooftop. Therefore discounted. </w:t>
      </w:r>
      <w:r>
        <w:rPr>
          <w:rFonts w:ascii="Calibri" w:hAnsi="Calibri" w:cs="Calibri"/>
          <w:sz w:val="22"/>
          <w:szCs w:val="22"/>
        </w:rPr>
        <w:t xml:space="preserve">  </w:t>
      </w:r>
    </w:p>
    <w:sectPr w:rsidR="001E4AD4" w:rsidRPr="00496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168F0"/>
    <w:multiLevelType w:val="hybridMultilevel"/>
    <w:tmpl w:val="4D262A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02313A"/>
    <w:multiLevelType w:val="hybridMultilevel"/>
    <w:tmpl w:val="626A0D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0618150">
    <w:abstractNumId w:val="0"/>
  </w:num>
  <w:num w:numId="2" w16cid:durableId="1447431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B5"/>
    <w:rsid w:val="001E4AD4"/>
    <w:rsid w:val="003F57D8"/>
    <w:rsid w:val="00402096"/>
    <w:rsid w:val="00496AB5"/>
    <w:rsid w:val="005A1BD6"/>
    <w:rsid w:val="005E37DA"/>
    <w:rsid w:val="00661AA4"/>
    <w:rsid w:val="007978C3"/>
    <w:rsid w:val="007C6C96"/>
    <w:rsid w:val="008D7B48"/>
    <w:rsid w:val="00A256B7"/>
    <w:rsid w:val="00A97200"/>
    <w:rsid w:val="00AC2402"/>
    <w:rsid w:val="00B36DF6"/>
    <w:rsid w:val="00BC1085"/>
    <w:rsid w:val="00BF3DF1"/>
    <w:rsid w:val="00C22236"/>
    <w:rsid w:val="00C76D52"/>
    <w:rsid w:val="00CD6827"/>
    <w:rsid w:val="00EC2F78"/>
    <w:rsid w:val="00F47CDD"/>
    <w:rsid w:val="00F54AA7"/>
    <w:rsid w:val="00F71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806D"/>
  <w15:chartTrackingRefBased/>
  <w15:docId w15:val="{28D4AAAE-C29C-4BAF-95CB-09A1ACA3C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085"/>
  </w:style>
  <w:style w:type="paragraph" w:styleId="Heading1">
    <w:name w:val="heading 1"/>
    <w:basedOn w:val="Normal"/>
    <w:next w:val="Normal"/>
    <w:link w:val="Heading1Char"/>
    <w:uiPriority w:val="9"/>
    <w:qFormat/>
    <w:rsid w:val="00BC1085"/>
    <w:pPr>
      <w:keepNext/>
      <w:keepLines/>
      <w:spacing w:before="360" w:after="80"/>
      <w:outlineLvl w:val="0"/>
    </w:pPr>
    <w:rPr>
      <w:rFonts w:asciiTheme="majorHAnsi" w:eastAsiaTheme="majorEastAsia" w:hAnsiTheme="majorHAnsi" w:cstheme="majorBidi"/>
      <w:color w:val="BF0000" w:themeColor="accent1" w:themeShade="BF"/>
      <w:sz w:val="40"/>
      <w:szCs w:val="40"/>
    </w:rPr>
  </w:style>
  <w:style w:type="paragraph" w:styleId="Heading2">
    <w:name w:val="heading 2"/>
    <w:basedOn w:val="Normal"/>
    <w:next w:val="Normal"/>
    <w:link w:val="Heading2Char"/>
    <w:uiPriority w:val="9"/>
    <w:semiHidden/>
    <w:unhideWhenUsed/>
    <w:qFormat/>
    <w:rsid w:val="00BC1085"/>
    <w:pPr>
      <w:keepNext/>
      <w:keepLines/>
      <w:spacing w:before="160" w:after="80"/>
      <w:outlineLvl w:val="1"/>
    </w:pPr>
    <w:rPr>
      <w:rFonts w:asciiTheme="majorHAnsi" w:eastAsiaTheme="majorEastAsia" w:hAnsiTheme="majorHAnsi" w:cstheme="majorBidi"/>
      <w:color w:val="BF0000" w:themeColor="accent1" w:themeShade="BF"/>
      <w:sz w:val="32"/>
      <w:szCs w:val="32"/>
    </w:rPr>
  </w:style>
  <w:style w:type="paragraph" w:styleId="Heading3">
    <w:name w:val="heading 3"/>
    <w:basedOn w:val="Normal"/>
    <w:next w:val="Normal"/>
    <w:link w:val="Heading3Char"/>
    <w:uiPriority w:val="9"/>
    <w:semiHidden/>
    <w:unhideWhenUsed/>
    <w:qFormat/>
    <w:rsid w:val="00BC1085"/>
    <w:pPr>
      <w:keepNext/>
      <w:keepLines/>
      <w:spacing w:before="160" w:after="80"/>
      <w:outlineLvl w:val="2"/>
    </w:pPr>
    <w:rPr>
      <w:rFonts w:eastAsiaTheme="majorEastAsia" w:cstheme="majorBidi"/>
      <w:color w:val="BF0000" w:themeColor="accent1" w:themeShade="BF"/>
      <w:sz w:val="28"/>
      <w:szCs w:val="28"/>
    </w:rPr>
  </w:style>
  <w:style w:type="paragraph" w:styleId="Heading4">
    <w:name w:val="heading 4"/>
    <w:basedOn w:val="Normal"/>
    <w:next w:val="Normal"/>
    <w:link w:val="Heading4Char"/>
    <w:uiPriority w:val="9"/>
    <w:semiHidden/>
    <w:unhideWhenUsed/>
    <w:qFormat/>
    <w:rsid w:val="00BC1085"/>
    <w:pPr>
      <w:keepNext/>
      <w:keepLines/>
      <w:spacing w:before="80" w:after="40"/>
      <w:outlineLvl w:val="3"/>
    </w:pPr>
    <w:rPr>
      <w:rFonts w:eastAsiaTheme="majorEastAsia" w:cstheme="majorBidi"/>
      <w:i/>
      <w:iCs/>
      <w:color w:val="BF0000" w:themeColor="accent1" w:themeShade="BF"/>
    </w:rPr>
  </w:style>
  <w:style w:type="paragraph" w:styleId="Heading5">
    <w:name w:val="heading 5"/>
    <w:basedOn w:val="Normal"/>
    <w:next w:val="Normal"/>
    <w:link w:val="Heading5Char"/>
    <w:uiPriority w:val="9"/>
    <w:semiHidden/>
    <w:unhideWhenUsed/>
    <w:qFormat/>
    <w:rsid w:val="00BC1085"/>
    <w:pPr>
      <w:keepNext/>
      <w:keepLines/>
      <w:spacing w:before="80" w:after="40"/>
      <w:outlineLvl w:val="4"/>
    </w:pPr>
    <w:rPr>
      <w:rFonts w:eastAsiaTheme="majorEastAsia" w:cstheme="majorBidi"/>
      <w:color w:val="BF0000" w:themeColor="accent1" w:themeShade="BF"/>
    </w:rPr>
  </w:style>
  <w:style w:type="paragraph" w:styleId="Heading6">
    <w:name w:val="heading 6"/>
    <w:basedOn w:val="Normal"/>
    <w:next w:val="Normal"/>
    <w:link w:val="Heading6Char"/>
    <w:uiPriority w:val="9"/>
    <w:semiHidden/>
    <w:unhideWhenUsed/>
    <w:qFormat/>
    <w:rsid w:val="00BC1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085"/>
    <w:rPr>
      <w:rFonts w:asciiTheme="majorHAnsi" w:eastAsiaTheme="majorEastAsia" w:hAnsiTheme="majorHAnsi" w:cstheme="majorBidi"/>
      <w:color w:val="BF0000" w:themeColor="accent1" w:themeShade="BF"/>
      <w:sz w:val="40"/>
      <w:szCs w:val="40"/>
    </w:rPr>
  </w:style>
  <w:style w:type="character" w:customStyle="1" w:styleId="Heading2Char">
    <w:name w:val="Heading 2 Char"/>
    <w:basedOn w:val="DefaultParagraphFont"/>
    <w:link w:val="Heading2"/>
    <w:uiPriority w:val="9"/>
    <w:semiHidden/>
    <w:rsid w:val="00BC1085"/>
    <w:rPr>
      <w:rFonts w:asciiTheme="majorHAnsi" w:eastAsiaTheme="majorEastAsia" w:hAnsiTheme="majorHAnsi" w:cstheme="majorBidi"/>
      <w:color w:val="BF0000" w:themeColor="accent1" w:themeShade="BF"/>
      <w:sz w:val="32"/>
      <w:szCs w:val="32"/>
    </w:rPr>
  </w:style>
  <w:style w:type="character" w:customStyle="1" w:styleId="Heading3Char">
    <w:name w:val="Heading 3 Char"/>
    <w:basedOn w:val="DefaultParagraphFont"/>
    <w:link w:val="Heading3"/>
    <w:uiPriority w:val="9"/>
    <w:semiHidden/>
    <w:rsid w:val="00BC1085"/>
    <w:rPr>
      <w:rFonts w:eastAsiaTheme="majorEastAsia" w:cstheme="majorBidi"/>
      <w:color w:val="BF0000" w:themeColor="accent1" w:themeShade="BF"/>
      <w:sz w:val="28"/>
      <w:szCs w:val="28"/>
    </w:rPr>
  </w:style>
  <w:style w:type="character" w:customStyle="1" w:styleId="Heading4Char">
    <w:name w:val="Heading 4 Char"/>
    <w:basedOn w:val="DefaultParagraphFont"/>
    <w:link w:val="Heading4"/>
    <w:uiPriority w:val="9"/>
    <w:semiHidden/>
    <w:rsid w:val="00BC1085"/>
    <w:rPr>
      <w:rFonts w:eastAsiaTheme="majorEastAsia" w:cstheme="majorBidi"/>
      <w:i/>
      <w:iCs/>
      <w:color w:val="BF0000" w:themeColor="accent1" w:themeShade="BF"/>
    </w:rPr>
  </w:style>
  <w:style w:type="character" w:customStyle="1" w:styleId="Heading5Char">
    <w:name w:val="Heading 5 Char"/>
    <w:basedOn w:val="DefaultParagraphFont"/>
    <w:link w:val="Heading5"/>
    <w:uiPriority w:val="9"/>
    <w:semiHidden/>
    <w:rsid w:val="00BC1085"/>
    <w:rPr>
      <w:rFonts w:eastAsiaTheme="majorEastAsia" w:cstheme="majorBidi"/>
      <w:color w:val="BF0000" w:themeColor="accent1" w:themeShade="BF"/>
    </w:rPr>
  </w:style>
  <w:style w:type="character" w:customStyle="1" w:styleId="Heading6Char">
    <w:name w:val="Heading 6 Char"/>
    <w:basedOn w:val="DefaultParagraphFont"/>
    <w:link w:val="Heading6"/>
    <w:uiPriority w:val="9"/>
    <w:semiHidden/>
    <w:rsid w:val="00BC1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085"/>
    <w:rPr>
      <w:rFonts w:eastAsiaTheme="majorEastAsia" w:cstheme="majorBidi"/>
      <w:color w:val="272727" w:themeColor="text1" w:themeTint="D8"/>
    </w:rPr>
  </w:style>
  <w:style w:type="paragraph" w:styleId="Title">
    <w:name w:val="Title"/>
    <w:basedOn w:val="Normal"/>
    <w:next w:val="Normal"/>
    <w:link w:val="TitleChar"/>
    <w:uiPriority w:val="10"/>
    <w:qFormat/>
    <w:rsid w:val="00BC1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085"/>
    <w:pPr>
      <w:spacing w:before="160"/>
      <w:jc w:val="center"/>
    </w:pPr>
    <w:rPr>
      <w:i/>
      <w:iCs/>
      <w:color w:val="404040" w:themeColor="text1" w:themeTint="BF"/>
    </w:rPr>
  </w:style>
  <w:style w:type="character" w:customStyle="1" w:styleId="QuoteChar">
    <w:name w:val="Quote Char"/>
    <w:basedOn w:val="DefaultParagraphFont"/>
    <w:link w:val="Quote"/>
    <w:uiPriority w:val="29"/>
    <w:rsid w:val="00BC1085"/>
    <w:rPr>
      <w:i/>
      <w:iCs/>
      <w:color w:val="404040" w:themeColor="text1" w:themeTint="BF"/>
    </w:rPr>
  </w:style>
  <w:style w:type="paragraph" w:styleId="ListParagraph">
    <w:name w:val="List Paragraph"/>
    <w:basedOn w:val="Normal"/>
    <w:uiPriority w:val="34"/>
    <w:qFormat/>
    <w:rsid w:val="00BC1085"/>
    <w:pPr>
      <w:ind w:left="720"/>
      <w:contextualSpacing/>
    </w:pPr>
  </w:style>
  <w:style w:type="character" w:styleId="IntenseEmphasis">
    <w:name w:val="Intense Emphasis"/>
    <w:basedOn w:val="DefaultParagraphFont"/>
    <w:uiPriority w:val="21"/>
    <w:qFormat/>
    <w:rsid w:val="00BC1085"/>
    <w:rPr>
      <w:i/>
      <w:iCs/>
      <w:color w:val="BF0000" w:themeColor="accent1" w:themeShade="BF"/>
    </w:rPr>
  </w:style>
  <w:style w:type="paragraph" w:styleId="IntenseQuote">
    <w:name w:val="Intense Quote"/>
    <w:basedOn w:val="Normal"/>
    <w:next w:val="Normal"/>
    <w:link w:val="IntenseQuoteChar"/>
    <w:uiPriority w:val="30"/>
    <w:qFormat/>
    <w:rsid w:val="00BC1085"/>
    <w:pPr>
      <w:pBdr>
        <w:top w:val="single" w:sz="4" w:space="10" w:color="BF0000" w:themeColor="accent1" w:themeShade="BF"/>
        <w:bottom w:val="single" w:sz="4" w:space="10" w:color="BF0000" w:themeColor="accent1" w:themeShade="BF"/>
      </w:pBdr>
      <w:spacing w:before="360" w:after="360"/>
      <w:ind w:left="864" w:right="864"/>
      <w:jc w:val="center"/>
    </w:pPr>
    <w:rPr>
      <w:i/>
      <w:iCs/>
      <w:color w:val="BF0000" w:themeColor="accent1" w:themeShade="BF"/>
    </w:rPr>
  </w:style>
  <w:style w:type="character" w:customStyle="1" w:styleId="IntenseQuoteChar">
    <w:name w:val="Intense Quote Char"/>
    <w:basedOn w:val="DefaultParagraphFont"/>
    <w:link w:val="IntenseQuote"/>
    <w:uiPriority w:val="30"/>
    <w:rsid w:val="00BC1085"/>
    <w:rPr>
      <w:i/>
      <w:iCs/>
      <w:color w:val="BF0000" w:themeColor="accent1" w:themeShade="BF"/>
    </w:rPr>
  </w:style>
  <w:style w:type="character" w:styleId="IntenseReference">
    <w:name w:val="Intense Reference"/>
    <w:basedOn w:val="DefaultParagraphFont"/>
    <w:uiPriority w:val="32"/>
    <w:qFormat/>
    <w:rsid w:val="00BC1085"/>
    <w:rPr>
      <w:b/>
      <w:bCs/>
      <w:smallCaps/>
      <w:color w:val="BF0000" w:themeColor="accent1" w:themeShade="BF"/>
      <w:spacing w:val="5"/>
    </w:rPr>
  </w:style>
  <w:style w:type="character" w:styleId="Hyperlink">
    <w:name w:val="Hyperlink"/>
    <w:basedOn w:val="DefaultParagraphFont"/>
    <w:uiPriority w:val="99"/>
    <w:unhideWhenUsed/>
    <w:rsid w:val="001E4AD4"/>
    <w:rPr>
      <w:color w:val="0563C1" w:themeColor="hyperlink"/>
      <w:u w:val="single"/>
    </w:rPr>
  </w:style>
  <w:style w:type="character" w:styleId="UnresolvedMention">
    <w:name w:val="Unresolved Mention"/>
    <w:basedOn w:val="DefaultParagraphFont"/>
    <w:uiPriority w:val="99"/>
    <w:semiHidden/>
    <w:unhideWhenUsed/>
    <w:rsid w:val="001E4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idreferencefinder.com?gr=SJ8390097843|Peter_s_House|2,SJ8372397968|NTQ|4,SJ8377997953|Point_s_V|1,SJ8384497961|Point_s_W|1,SJ8380797878|Point_s_X|1,SJ8375297888|Point_s_Y|1,SJ8373497916|Point_s_Z|1,SJ8370197909|Point_s_BA|1,SJ8358597995|Point_s_BB|1,SJ8364497980|Point_s_BC|1,SJ8380098016|Point_s_BD|1,SJ8387198015|Point_s_BE|1&amp;v=r&amp;labels=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WHP">
      <a:dk1>
        <a:sysClr val="windowText" lastClr="000000"/>
      </a:dk1>
      <a:lt1>
        <a:sysClr val="window" lastClr="FFFFFF"/>
      </a:lt1>
      <a:dk2>
        <a:srgbClr val="4D7EA4"/>
      </a:dk2>
      <a:lt2>
        <a:srgbClr val="FFFFFF"/>
      </a:lt2>
      <a:accent1>
        <a:srgbClr val="FF0000"/>
      </a:accent1>
      <a:accent2>
        <a:srgbClr val="FFC000"/>
      </a:accent2>
      <a:accent3>
        <a:srgbClr val="FFFF00"/>
      </a:accent3>
      <a:accent4>
        <a:srgbClr val="92D050"/>
      </a:accent4>
      <a:accent5>
        <a:srgbClr val="00B050"/>
      </a:accent5>
      <a:accent6>
        <a:srgbClr val="0070C0"/>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Dunne</dc:creator>
  <cp:keywords/>
  <dc:description/>
  <cp:lastModifiedBy>Damian Hosker</cp:lastModifiedBy>
  <cp:revision>3</cp:revision>
  <dcterms:created xsi:type="dcterms:W3CDTF">2026-05-21T09:42:00Z</dcterms:created>
  <dcterms:modified xsi:type="dcterms:W3CDTF">2026-07-19T08:06:00Z</dcterms:modified>
</cp:coreProperties>
</file>