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EC3F7" w14:textId="77777777" w:rsidR="00BE7747" w:rsidRDefault="00D3474F" w:rsidP="00E80467">
      <w:pPr>
        <w:jc w:val="both"/>
      </w:pPr>
      <w:r>
        <w:rPr>
          <w:noProof/>
        </w:rPr>
        <w:drawing>
          <wp:inline distT="0" distB="0" distL="0" distR="0" wp14:anchorId="1157D8C4" wp14:editId="722394A4">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7F20C92C" w14:textId="77777777" w:rsidR="00D3474F" w:rsidRDefault="00D3474F" w:rsidP="00E80467">
      <w:pPr>
        <w:pStyle w:val="Title"/>
        <w:jc w:val="both"/>
      </w:pPr>
      <w:r>
        <w:t>Planning</w:t>
      </w:r>
    </w:p>
    <w:p w14:paraId="27D29326" w14:textId="77777777" w:rsidR="00D3474F" w:rsidRDefault="00D3474F" w:rsidP="00E80467">
      <w:pPr>
        <w:pStyle w:val="Title"/>
        <w:jc w:val="both"/>
      </w:pPr>
      <w:r>
        <w:t>Delegated Officer Report</w:t>
      </w:r>
    </w:p>
    <w:p w14:paraId="5463DD83" w14:textId="77777777" w:rsidR="003E4005" w:rsidRPr="003E4005" w:rsidRDefault="00EF3E10" w:rsidP="00E80467">
      <w:pPr>
        <w:pStyle w:val="Heading1"/>
        <w:jc w:val="both"/>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9A087A5" w14:textId="77777777" w:rsidTr="003E4005">
        <w:tc>
          <w:tcPr>
            <w:tcW w:w="2830" w:type="dxa"/>
          </w:tcPr>
          <w:p w14:paraId="1635DA16" w14:textId="77777777" w:rsidR="00D3474F" w:rsidRDefault="00D3474F" w:rsidP="00E80467">
            <w:pPr>
              <w:pStyle w:val="Heading2"/>
              <w:jc w:val="both"/>
            </w:pPr>
            <w:r>
              <w:t>Application reference:</w:t>
            </w:r>
          </w:p>
        </w:tc>
        <w:tc>
          <w:tcPr>
            <w:tcW w:w="7364" w:type="dxa"/>
          </w:tcPr>
          <w:p w14:paraId="2AFC3C42" w14:textId="77777777" w:rsidR="00D3474F" w:rsidRDefault="00D3474F" w:rsidP="00E80467">
            <w:pPr>
              <w:jc w:val="both"/>
            </w:pPr>
            <w:r>
              <w:t>PLA-2026-000328</w:t>
            </w:r>
          </w:p>
        </w:tc>
      </w:tr>
      <w:tr w:rsidR="00D3474F" w14:paraId="15991ECE" w14:textId="77777777" w:rsidTr="003E4005">
        <w:tc>
          <w:tcPr>
            <w:tcW w:w="2830" w:type="dxa"/>
          </w:tcPr>
          <w:p w14:paraId="0E808C5A" w14:textId="77777777" w:rsidR="00D3474F" w:rsidRDefault="00D3474F" w:rsidP="00E80467">
            <w:pPr>
              <w:pStyle w:val="Heading2"/>
              <w:jc w:val="both"/>
            </w:pPr>
            <w:r>
              <w:t>Application type:</w:t>
            </w:r>
          </w:p>
        </w:tc>
        <w:tc>
          <w:tcPr>
            <w:tcW w:w="7364" w:type="dxa"/>
          </w:tcPr>
          <w:p w14:paraId="74951024" w14:textId="77777777" w:rsidR="00D3474F" w:rsidRDefault="003E4005" w:rsidP="00E80467">
            <w:pPr>
              <w:jc w:val="both"/>
            </w:pPr>
            <w:r>
              <w:t>Listed building consent (Alt/Ext)</w:t>
            </w:r>
          </w:p>
        </w:tc>
      </w:tr>
      <w:tr w:rsidR="00D3474F" w14:paraId="4EFBF311" w14:textId="77777777" w:rsidTr="003E4005">
        <w:tc>
          <w:tcPr>
            <w:tcW w:w="2830" w:type="dxa"/>
          </w:tcPr>
          <w:p w14:paraId="2E3F83B4" w14:textId="77777777" w:rsidR="00D3474F" w:rsidRDefault="00D3474F" w:rsidP="00E80467">
            <w:pPr>
              <w:pStyle w:val="Heading2"/>
              <w:jc w:val="both"/>
            </w:pPr>
            <w:r>
              <w:t>Proposal:</w:t>
            </w:r>
          </w:p>
        </w:tc>
        <w:tc>
          <w:tcPr>
            <w:tcW w:w="7364" w:type="dxa"/>
          </w:tcPr>
          <w:p w14:paraId="504483EF" w14:textId="77777777" w:rsidR="00AC0908" w:rsidRPr="006540F7" w:rsidRDefault="00AC0908" w:rsidP="00E80467">
            <w:pPr>
              <w:jc w:val="both"/>
              <w:rPr>
                <w:rFonts w:cs="Arial"/>
              </w:rPr>
            </w:pPr>
            <w:r w:rsidRPr="006540F7">
              <w:rPr>
                <w:rFonts w:cs="Arial"/>
              </w:rPr>
              <w:t>Listed Building Consent for investigative and remediation works associated with fire safety</w:t>
            </w:r>
          </w:p>
          <w:p w14:paraId="55AC5313" w14:textId="76173972" w:rsidR="00AC0908" w:rsidRDefault="00AC0908" w:rsidP="00E80467">
            <w:pPr>
              <w:jc w:val="both"/>
            </w:pPr>
          </w:p>
        </w:tc>
      </w:tr>
      <w:tr w:rsidR="00D3474F" w14:paraId="5D90D0D8" w14:textId="77777777" w:rsidTr="003E4005">
        <w:tc>
          <w:tcPr>
            <w:tcW w:w="2830" w:type="dxa"/>
          </w:tcPr>
          <w:p w14:paraId="32A8B3FC" w14:textId="77777777" w:rsidR="00D3474F" w:rsidRDefault="00D3474F" w:rsidP="00E80467">
            <w:pPr>
              <w:pStyle w:val="Heading2"/>
              <w:jc w:val="both"/>
            </w:pPr>
            <w:r>
              <w:t>Site address:</w:t>
            </w:r>
          </w:p>
        </w:tc>
        <w:tc>
          <w:tcPr>
            <w:tcW w:w="7364" w:type="dxa"/>
          </w:tcPr>
          <w:p w14:paraId="0D0D981A" w14:textId="77777777" w:rsidR="00D3474F" w:rsidRDefault="00F96A58" w:rsidP="00E80467">
            <w:pPr>
              <w:jc w:val="both"/>
            </w:pPr>
            <w:r w:rsidRPr="00F96A58">
              <w:rPr>
                <w:rFonts w:cs="Arial"/>
              </w:rPr>
              <w:t>Century Buildings 14 St Mary's Parsonage Manchester M3 2DF</w:t>
            </w:r>
          </w:p>
        </w:tc>
      </w:tr>
      <w:tr w:rsidR="00D3474F" w14:paraId="0C716003" w14:textId="77777777" w:rsidTr="003E4005">
        <w:tc>
          <w:tcPr>
            <w:tcW w:w="2830" w:type="dxa"/>
          </w:tcPr>
          <w:p w14:paraId="17A8DF8A" w14:textId="77777777" w:rsidR="00D3474F" w:rsidRDefault="00D3474F" w:rsidP="00E80467">
            <w:pPr>
              <w:pStyle w:val="Heading2"/>
              <w:jc w:val="both"/>
            </w:pPr>
            <w:r>
              <w:t>Ward(s):</w:t>
            </w:r>
          </w:p>
        </w:tc>
        <w:tc>
          <w:tcPr>
            <w:tcW w:w="7364" w:type="dxa"/>
          </w:tcPr>
          <w:p w14:paraId="44946848" w14:textId="77777777" w:rsidR="00D3474F" w:rsidRDefault="00D3474F" w:rsidP="00E80467">
            <w:pPr>
              <w:jc w:val="both"/>
            </w:pPr>
            <w:r w:rsidRPr="00F01B50">
              <w:rPr>
                <w:rFonts w:cs="Arial"/>
                <w:bCs/>
              </w:rPr>
              <w:t>Deansgate</w:t>
            </w:r>
          </w:p>
        </w:tc>
      </w:tr>
      <w:tr w:rsidR="00D3474F" w14:paraId="183E6F37" w14:textId="77777777" w:rsidTr="003E4005">
        <w:tc>
          <w:tcPr>
            <w:tcW w:w="2830" w:type="dxa"/>
          </w:tcPr>
          <w:p w14:paraId="747CFBFF" w14:textId="77777777" w:rsidR="00D3474F" w:rsidRDefault="00D3474F" w:rsidP="00E80467">
            <w:pPr>
              <w:pStyle w:val="Heading2"/>
              <w:jc w:val="both"/>
            </w:pPr>
            <w:r>
              <w:t>Date application valid:</w:t>
            </w:r>
          </w:p>
        </w:tc>
        <w:tc>
          <w:tcPr>
            <w:tcW w:w="7364" w:type="dxa"/>
          </w:tcPr>
          <w:p w14:paraId="79DC6C94" w14:textId="77777777" w:rsidR="00D3474F" w:rsidRPr="00F01B50" w:rsidRDefault="00D3474F" w:rsidP="00E80467">
            <w:pPr>
              <w:jc w:val="both"/>
              <w:rPr>
                <w:rFonts w:cs="Arial"/>
                <w:bCs/>
              </w:rPr>
            </w:pPr>
            <w:r w:rsidRPr="00F01B50">
              <w:rPr>
                <w:rFonts w:eastAsia="MS Mincho" w:cs="Arial"/>
                <w:kern w:val="0"/>
                <w14:ligatures w14:val="none"/>
              </w:rPr>
              <w:t>14 May 2026</w:t>
            </w:r>
          </w:p>
        </w:tc>
      </w:tr>
      <w:tr w:rsidR="00D3474F" w14:paraId="5EBB6587" w14:textId="77777777" w:rsidTr="003E4005">
        <w:tc>
          <w:tcPr>
            <w:tcW w:w="2830" w:type="dxa"/>
          </w:tcPr>
          <w:p w14:paraId="2E3D57CA" w14:textId="77777777" w:rsidR="00D3474F" w:rsidRDefault="00D3474F" w:rsidP="00E80467">
            <w:pPr>
              <w:pStyle w:val="Heading2"/>
              <w:jc w:val="both"/>
            </w:pPr>
            <w:r>
              <w:t>Applicant name:</w:t>
            </w:r>
          </w:p>
        </w:tc>
        <w:tc>
          <w:tcPr>
            <w:tcW w:w="7364" w:type="dxa"/>
          </w:tcPr>
          <w:p w14:paraId="025DACD0" w14:textId="77777777" w:rsidR="00D3474F" w:rsidRDefault="00D3474F" w:rsidP="00E80467">
            <w:pPr>
              <w:jc w:val="both"/>
            </w:pPr>
            <w:r w:rsidRPr="00F01B50">
              <w:rPr>
                <w:rFonts w:cs="Arial"/>
              </w:rPr>
              <w:t>Crest Nicholson Plc</w:t>
            </w:r>
          </w:p>
        </w:tc>
      </w:tr>
      <w:tr w:rsidR="00D3474F" w14:paraId="6162277A" w14:textId="77777777" w:rsidTr="003E4005">
        <w:tc>
          <w:tcPr>
            <w:tcW w:w="2830" w:type="dxa"/>
          </w:tcPr>
          <w:p w14:paraId="5632CE33" w14:textId="77777777" w:rsidR="00D3474F" w:rsidRDefault="00D3474F" w:rsidP="00E80467">
            <w:pPr>
              <w:pStyle w:val="Heading2"/>
              <w:jc w:val="both"/>
            </w:pPr>
            <w:r>
              <w:t>Agent (if any):</w:t>
            </w:r>
          </w:p>
        </w:tc>
        <w:tc>
          <w:tcPr>
            <w:tcW w:w="7364" w:type="dxa"/>
          </w:tcPr>
          <w:p w14:paraId="761D696B" w14:textId="77777777" w:rsidR="00D3474F" w:rsidRDefault="00D3474F" w:rsidP="00E80467">
            <w:pPr>
              <w:jc w:val="both"/>
            </w:pPr>
            <w:r>
              <w:t>Mr Joseph Edwards</w:t>
            </w:r>
          </w:p>
        </w:tc>
      </w:tr>
      <w:tr w:rsidR="00D3474F" w14:paraId="1ACAD205" w14:textId="77777777" w:rsidTr="003E4005">
        <w:tc>
          <w:tcPr>
            <w:tcW w:w="2830" w:type="dxa"/>
          </w:tcPr>
          <w:p w14:paraId="0D916C08" w14:textId="77777777" w:rsidR="00D3474F" w:rsidRDefault="00D3474F" w:rsidP="00E80467">
            <w:pPr>
              <w:pStyle w:val="Heading2"/>
              <w:jc w:val="both"/>
            </w:pPr>
            <w:r>
              <w:t>Case officer:</w:t>
            </w:r>
          </w:p>
        </w:tc>
        <w:tc>
          <w:tcPr>
            <w:tcW w:w="7364" w:type="dxa"/>
          </w:tcPr>
          <w:p w14:paraId="1EEA3A49" w14:textId="77777777" w:rsidR="00D3474F" w:rsidRDefault="00D3474F" w:rsidP="00E80467">
            <w:pPr>
              <w:jc w:val="both"/>
            </w:pPr>
            <w:r>
              <w:t>Jack Naven</w:t>
            </w:r>
          </w:p>
        </w:tc>
      </w:tr>
      <w:tr w:rsidR="00D3474F" w14:paraId="00FC2D7F" w14:textId="77777777" w:rsidTr="003E4005">
        <w:tc>
          <w:tcPr>
            <w:tcW w:w="2830" w:type="dxa"/>
          </w:tcPr>
          <w:p w14:paraId="71E7D8F0" w14:textId="77777777" w:rsidR="00D3474F" w:rsidRDefault="00D3474F" w:rsidP="00E80467">
            <w:pPr>
              <w:pStyle w:val="Heading2"/>
              <w:jc w:val="both"/>
            </w:pPr>
            <w:r>
              <w:t>Recommendation:</w:t>
            </w:r>
          </w:p>
        </w:tc>
        <w:tc>
          <w:tcPr>
            <w:tcW w:w="7364" w:type="dxa"/>
          </w:tcPr>
          <w:p w14:paraId="667A6832" w14:textId="77777777" w:rsidR="00D3474F" w:rsidRDefault="00F96A58" w:rsidP="00E80467">
            <w:pPr>
              <w:jc w:val="both"/>
            </w:pPr>
            <w:r w:rsidRPr="00F96A58">
              <w:t>Approve</w:t>
            </w:r>
          </w:p>
        </w:tc>
      </w:tr>
      <w:tr w:rsidR="00D3474F" w14:paraId="12961396" w14:textId="77777777" w:rsidTr="003E4005">
        <w:tc>
          <w:tcPr>
            <w:tcW w:w="2830" w:type="dxa"/>
          </w:tcPr>
          <w:p w14:paraId="656A00C1" w14:textId="77777777" w:rsidR="00D3474F" w:rsidRDefault="00D3474F" w:rsidP="00E80467">
            <w:pPr>
              <w:pStyle w:val="Heading2"/>
            </w:pPr>
            <w:r>
              <w:t>Date of recommendation:</w:t>
            </w:r>
          </w:p>
        </w:tc>
        <w:tc>
          <w:tcPr>
            <w:tcW w:w="7364" w:type="dxa"/>
          </w:tcPr>
          <w:p w14:paraId="2EABDEFB" w14:textId="5B741AB8" w:rsidR="00D3474F" w:rsidRDefault="00BF210C" w:rsidP="00E80467">
            <w:r>
              <w:t>08 July 2026</w:t>
            </w:r>
          </w:p>
        </w:tc>
      </w:tr>
    </w:tbl>
    <w:p w14:paraId="227A1126" w14:textId="77777777" w:rsidR="00D3474F" w:rsidRDefault="00D3474F" w:rsidP="00E80467">
      <w:pPr>
        <w:jc w:val="both"/>
      </w:pPr>
    </w:p>
    <w:p w14:paraId="3FF0A65D" w14:textId="77777777" w:rsidR="00EF3E10" w:rsidRPr="00157396" w:rsidRDefault="00EF3E10" w:rsidP="00E80467">
      <w:pPr>
        <w:pStyle w:val="Heading1"/>
        <w:jc w:val="both"/>
        <w:rPr>
          <w:u w:val="single"/>
        </w:rPr>
      </w:pPr>
      <w:r w:rsidRPr="00157396">
        <w:rPr>
          <w:u w:val="single"/>
        </w:rPr>
        <w:t>Description of site, building and/or area</w:t>
      </w:r>
    </w:p>
    <w:p w14:paraId="23256A1B" w14:textId="1BC0AC6F" w:rsidR="00BF210C" w:rsidRDefault="00BF210C" w:rsidP="00E80467">
      <w:pPr>
        <w:pStyle w:val="NormalWeb"/>
        <w:jc w:val="both"/>
        <w:divId w:val="1028985974"/>
        <w:rPr>
          <w:rFonts w:ascii="Arial" w:hAnsi="Arial" w:cs="Arial"/>
          <w:color w:val="000000"/>
        </w:rPr>
      </w:pPr>
      <w:r>
        <w:rPr>
          <w:rFonts w:ascii="Arial" w:hAnsi="Arial" w:cs="Arial"/>
          <w:color w:val="000000"/>
        </w:rPr>
        <w:t>Century Buildings stands at 14 St Mary’s Parsonage, overlooking Parsonage Gardens in Central Manchester, at the heart of Parsonage Gardens Conservation Area.</w:t>
      </w:r>
    </w:p>
    <w:p w14:paraId="6D644D58" w14:textId="77777777" w:rsidR="00BF210C" w:rsidRDefault="00BF210C" w:rsidP="00E80467">
      <w:pPr>
        <w:pStyle w:val="NormalWeb"/>
        <w:jc w:val="both"/>
        <w:divId w:val="1028985974"/>
        <w:rPr>
          <w:rFonts w:ascii="Arial" w:hAnsi="Arial" w:cs="Arial"/>
          <w:color w:val="000000"/>
        </w:rPr>
      </w:pPr>
      <w:r>
        <w:rPr>
          <w:rFonts w:ascii="Arial" w:hAnsi="Arial" w:cs="Arial"/>
          <w:color w:val="000000"/>
        </w:rPr>
        <w:t>The buildings comprise of three structures:</w:t>
      </w:r>
    </w:p>
    <w:p w14:paraId="3BF82A5F" w14:textId="77777777" w:rsidR="00BF210C" w:rsidRDefault="00BF210C" w:rsidP="00E80467">
      <w:pPr>
        <w:numPr>
          <w:ilvl w:val="0"/>
          <w:numId w:val="6"/>
        </w:numPr>
        <w:spacing w:before="100" w:beforeAutospacing="1" w:after="100" w:afterAutospacing="1"/>
        <w:jc w:val="both"/>
        <w:divId w:val="1028985974"/>
        <w:rPr>
          <w:rFonts w:eastAsia="Times New Roman" w:cs="Arial"/>
          <w:color w:val="000000"/>
        </w:rPr>
      </w:pPr>
      <w:r>
        <w:rPr>
          <w:rFonts w:eastAsia="Times New Roman" w:cs="Arial"/>
          <w:color w:val="000000"/>
        </w:rPr>
        <w:t xml:space="preserve">The 1905–1909 Edwardian block (National Buildings) designed by Harry S. Fairhurst; </w:t>
      </w:r>
    </w:p>
    <w:p w14:paraId="3A7E4CAA" w14:textId="77777777" w:rsidR="00BF210C" w:rsidRDefault="00BF210C" w:rsidP="00E80467">
      <w:pPr>
        <w:numPr>
          <w:ilvl w:val="0"/>
          <w:numId w:val="6"/>
        </w:numPr>
        <w:spacing w:before="100" w:beforeAutospacing="1" w:after="100" w:afterAutospacing="1"/>
        <w:jc w:val="both"/>
        <w:divId w:val="1028985974"/>
        <w:rPr>
          <w:rFonts w:eastAsia="Times New Roman" w:cs="Arial"/>
          <w:color w:val="000000"/>
        </w:rPr>
      </w:pPr>
      <w:r>
        <w:rPr>
          <w:rFonts w:eastAsia="Times New Roman" w:cs="Arial"/>
          <w:color w:val="000000"/>
        </w:rPr>
        <w:t xml:space="preserve">A 1960s concrete-framed tower to the rear; </w:t>
      </w:r>
    </w:p>
    <w:p w14:paraId="1A4FDA8B" w14:textId="77777777" w:rsidR="00BF210C" w:rsidRDefault="00BF210C" w:rsidP="00E80467">
      <w:pPr>
        <w:numPr>
          <w:ilvl w:val="0"/>
          <w:numId w:val="6"/>
        </w:numPr>
        <w:spacing w:before="100" w:beforeAutospacing="1" w:after="100" w:afterAutospacing="1"/>
        <w:jc w:val="both"/>
        <w:divId w:val="1028985974"/>
        <w:rPr>
          <w:rFonts w:eastAsia="Times New Roman" w:cs="Arial"/>
          <w:color w:val="000000"/>
        </w:rPr>
      </w:pPr>
      <w:r>
        <w:rPr>
          <w:rFonts w:eastAsia="Times New Roman" w:cs="Arial"/>
          <w:color w:val="000000"/>
        </w:rPr>
        <w:t>A 1999–2000 residential conversion, including atriums, raised floors, walkways, services and penthouse additions.</w:t>
      </w:r>
    </w:p>
    <w:p w14:paraId="375865BA" w14:textId="49A3E714" w:rsidR="00BF210C" w:rsidRDefault="00BF210C" w:rsidP="00E80467">
      <w:pPr>
        <w:pStyle w:val="NormalWeb"/>
        <w:jc w:val="both"/>
        <w:divId w:val="1028985974"/>
        <w:rPr>
          <w:rFonts w:ascii="Arial" w:hAnsi="Arial" w:cs="Arial"/>
          <w:color w:val="000000"/>
        </w:rPr>
      </w:pPr>
      <w:r>
        <w:rPr>
          <w:rFonts w:ascii="Arial" w:hAnsi="Arial" w:cs="Arial"/>
          <w:color w:val="000000"/>
        </w:rPr>
        <w:t>The building is Grade II listed, first designated in 6 June 1994. The listing covers the entire building, including later structures.</w:t>
      </w:r>
    </w:p>
    <w:p w14:paraId="5543689C" w14:textId="77777777" w:rsidR="00BF210C" w:rsidRDefault="00BF210C" w:rsidP="00E80467">
      <w:pPr>
        <w:pStyle w:val="NormalWeb"/>
        <w:jc w:val="both"/>
        <w:divId w:val="1028985974"/>
        <w:rPr>
          <w:rFonts w:ascii="Arial" w:hAnsi="Arial" w:cs="Arial"/>
          <w:color w:val="000000"/>
        </w:rPr>
      </w:pPr>
      <w:r>
        <w:rPr>
          <w:rFonts w:ascii="Arial" w:hAnsi="Arial" w:cs="Arial"/>
          <w:color w:val="000000"/>
        </w:rPr>
        <w:t>The original 1905–1909 construction comprises:</w:t>
      </w:r>
    </w:p>
    <w:p w14:paraId="161112EC" w14:textId="77777777" w:rsidR="00BF210C" w:rsidRDefault="00BF210C" w:rsidP="00E80467">
      <w:pPr>
        <w:numPr>
          <w:ilvl w:val="0"/>
          <w:numId w:val="7"/>
        </w:numPr>
        <w:spacing w:before="100" w:beforeAutospacing="1" w:after="100" w:afterAutospacing="1"/>
        <w:jc w:val="both"/>
        <w:divId w:val="1028985974"/>
        <w:rPr>
          <w:rFonts w:eastAsia="Times New Roman" w:cs="Arial"/>
          <w:color w:val="000000"/>
        </w:rPr>
      </w:pPr>
      <w:r>
        <w:rPr>
          <w:rFonts w:eastAsia="Times New Roman" w:cs="Arial"/>
          <w:color w:val="000000"/>
        </w:rPr>
        <w:t>A multi-storey steel-framed office block, Clad predominantly in moulded terracotta, a material prized for fire-resistance and ornament Richly modelled façades with pilasters, cornices and classical detailing</w:t>
      </w:r>
    </w:p>
    <w:p w14:paraId="280FB0F1" w14:textId="77777777" w:rsidR="00BF210C" w:rsidRDefault="00BF210C" w:rsidP="00E80467">
      <w:pPr>
        <w:numPr>
          <w:ilvl w:val="0"/>
          <w:numId w:val="7"/>
        </w:numPr>
        <w:spacing w:before="100" w:beforeAutospacing="1" w:after="100" w:afterAutospacing="1"/>
        <w:jc w:val="both"/>
        <w:divId w:val="1028985974"/>
        <w:rPr>
          <w:rFonts w:eastAsia="Times New Roman" w:cs="Arial"/>
          <w:color w:val="000000"/>
        </w:rPr>
      </w:pPr>
      <w:r>
        <w:rPr>
          <w:rFonts w:eastAsia="Times New Roman" w:cs="Arial"/>
          <w:color w:val="000000"/>
        </w:rPr>
        <w:t>Cupola-topped end bays, providing visual prominence from Parsonage Gardens</w:t>
      </w:r>
    </w:p>
    <w:p w14:paraId="7D03D2C8" w14:textId="77777777" w:rsidR="00BF210C" w:rsidRDefault="00BF210C" w:rsidP="00E80467">
      <w:pPr>
        <w:numPr>
          <w:ilvl w:val="0"/>
          <w:numId w:val="7"/>
        </w:numPr>
        <w:spacing w:before="100" w:beforeAutospacing="1" w:after="100" w:afterAutospacing="1"/>
        <w:jc w:val="both"/>
        <w:divId w:val="1028985974"/>
        <w:rPr>
          <w:rFonts w:eastAsia="Times New Roman" w:cs="Arial"/>
          <w:color w:val="000000"/>
        </w:rPr>
      </w:pPr>
      <w:r>
        <w:rPr>
          <w:rFonts w:eastAsia="Times New Roman" w:cs="Arial"/>
          <w:color w:val="000000"/>
        </w:rPr>
        <w:t>Large sash or casement windows arranged in regular vertical rhythms</w:t>
      </w:r>
    </w:p>
    <w:p w14:paraId="16BA3C91" w14:textId="77777777" w:rsidR="00BF210C" w:rsidRDefault="00BF210C" w:rsidP="00E80467">
      <w:pPr>
        <w:numPr>
          <w:ilvl w:val="0"/>
          <w:numId w:val="7"/>
        </w:numPr>
        <w:spacing w:before="100" w:beforeAutospacing="1" w:after="100" w:afterAutospacing="1"/>
        <w:jc w:val="both"/>
        <w:divId w:val="1028985974"/>
        <w:rPr>
          <w:rFonts w:eastAsia="Times New Roman" w:cs="Arial"/>
          <w:color w:val="000000"/>
        </w:rPr>
      </w:pPr>
      <w:r>
        <w:rPr>
          <w:rFonts w:eastAsia="Times New Roman" w:cs="Arial"/>
          <w:color w:val="000000"/>
        </w:rPr>
        <w:t>A pronounced and carefully articulated roofline and attic storey</w:t>
      </w:r>
    </w:p>
    <w:p w14:paraId="01B24E89" w14:textId="77777777" w:rsidR="00BF210C" w:rsidRDefault="00BF210C" w:rsidP="00E80467">
      <w:pPr>
        <w:pStyle w:val="NormalWeb"/>
        <w:jc w:val="both"/>
        <w:divId w:val="1028985974"/>
        <w:rPr>
          <w:rFonts w:ascii="Arial" w:hAnsi="Arial" w:cs="Arial"/>
          <w:color w:val="000000"/>
        </w:rPr>
      </w:pPr>
      <w:r>
        <w:rPr>
          <w:rFonts w:ascii="Arial" w:hAnsi="Arial" w:cs="Arial"/>
          <w:color w:val="000000"/>
        </w:rPr>
        <w:t>The 1960s tower is typical of mid-century commercial architecture, featuring:</w:t>
      </w:r>
    </w:p>
    <w:p w14:paraId="307B98AA" w14:textId="77777777" w:rsidR="00BF210C" w:rsidRDefault="00BF210C" w:rsidP="00E80467">
      <w:pPr>
        <w:numPr>
          <w:ilvl w:val="0"/>
          <w:numId w:val="8"/>
        </w:numPr>
        <w:spacing w:before="100" w:beforeAutospacing="1" w:after="100" w:afterAutospacing="1"/>
        <w:jc w:val="both"/>
        <w:divId w:val="1028985974"/>
        <w:rPr>
          <w:rFonts w:eastAsia="Times New Roman" w:cs="Arial"/>
          <w:color w:val="000000"/>
        </w:rPr>
      </w:pPr>
      <w:r>
        <w:rPr>
          <w:rFonts w:eastAsia="Times New Roman" w:cs="Arial"/>
          <w:color w:val="000000"/>
        </w:rPr>
        <w:lastRenderedPageBreak/>
        <w:t>Reinforced concrete frame</w:t>
      </w:r>
    </w:p>
    <w:p w14:paraId="109C82C3" w14:textId="77777777" w:rsidR="00BF210C" w:rsidRDefault="00BF210C" w:rsidP="00E80467">
      <w:pPr>
        <w:numPr>
          <w:ilvl w:val="0"/>
          <w:numId w:val="8"/>
        </w:numPr>
        <w:spacing w:before="100" w:beforeAutospacing="1" w:after="100" w:afterAutospacing="1"/>
        <w:jc w:val="both"/>
        <w:divId w:val="1028985974"/>
        <w:rPr>
          <w:rFonts w:eastAsia="Times New Roman" w:cs="Arial"/>
          <w:color w:val="000000"/>
        </w:rPr>
      </w:pPr>
      <w:r>
        <w:rPr>
          <w:rFonts w:eastAsia="Times New Roman" w:cs="Arial"/>
          <w:color w:val="000000"/>
        </w:rPr>
        <w:t>Flat roofs and parapets</w:t>
      </w:r>
    </w:p>
    <w:p w14:paraId="5F512484" w14:textId="77777777" w:rsidR="00BF210C" w:rsidRDefault="00BF210C" w:rsidP="00E80467">
      <w:pPr>
        <w:numPr>
          <w:ilvl w:val="0"/>
          <w:numId w:val="8"/>
        </w:numPr>
        <w:spacing w:before="100" w:beforeAutospacing="1" w:after="100" w:afterAutospacing="1"/>
        <w:jc w:val="both"/>
        <w:divId w:val="1028985974"/>
        <w:rPr>
          <w:rFonts w:eastAsia="Times New Roman" w:cs="Arial"/>
          <w:color w:val="000000"/>
        </w:rPr>
      </w:pPr>
      <w:r>
        <w:rPr>
          <w:rFonts w:eastAsia="Times New Roman" w:cs="Arial"/>
          <w:color w:val="000000"/>
        </w:rPr>
        <w:t>Simple, utilitarian façade treatment</w:t>
      </w:r>
    </w:p>
    <w:p w14:paraId="46F2C634" w14:textId="77777777" w:rsidR="00BF210C" w:rsidRDefault="00BF210C" w:rsidP="00E80467">
      <w:pPr>
        <w:numPr>
          <w:ilvl w:val="0"/>
          <w:numId w:val="8"/>
        </w:numPr>
        <w:spacing w:before="100" w:beforeAutospacing="1" w:after="100" w:afterAutospacing="1"/>
        <w:jc w:val="both"/>
        <w:divId w:val="1028985974"/>
        <w:rPr>
          <w:rFonts w:eastAsia="Times New Roman" w:cs="Arial"/>
          <w:color w:val="000000"/>
        </w:rPr>
      </w:pPr>
      <w:r>
        <w:rPr>
          <w:rFonts w:eastAsia="Times New Roman" w:cs="Arial"/>
          <w:color w:val="000000"/>
        </w:rPr>
        <w:t>Functional distribution of office or service spaces</w:t>
      </w:r>
    </w:p>
    <w:p w14:paraId="6AAA8218" w14:textId="77777777" w:rsidR="00BF210C" w:rsidRDefault="00BF210C" w:rsidP="00E80467">
      <w:pPr>
        <w:numPr>
          <w:ilvl w:val="0"/>
          <w:numId w:val="8"/>
        </w:numPr>
        <w:spacing w:before="100" w:beforeAutospacing="1" w:after="100" w:afterAutospacing="1"/>
        <w:jc w:val="both"/>
        <w:divId w:val="1028985974"/>
        <w:rPr>
          <w:rFonts w:eastAsia="Times New Roman" w:cs="Arial"/>
          <w:color w:val="000000"/>
        </w:rPr>
      </w:pPr>
      <w:r>
        <w:rPr>
          <w:rFonts w:eastAsia="Times New Roman" w:cs="Arial"/>
          <w:color w:val="000000"/>
        </w:rPr>
        <w:t>Minimal decorative treatment</w:t>
      </w:r>
    </w:p>
    <w:p w14:paraId="2A4DBE51" w14:textId="77777777" w:rsidR="00BF210C" w:rsidRDefault="00BF210C" w:rsidP="00E80467">
      <w:pPr>
        <w:pStyle w:val="NormalWeb"/>
        <w:jc w:val="both"/>
        <w:divId w:val="1028985974"/>
        <w:rPr>
          <w:rFonts w:ascii="Arial" w:hAnsi="Arial" w:cs="Arial"/>
          <w:color w:val="000000"/>
        </w:rPr>
      </w:pPr>
      <w:r>
        <w:rPr>
          <w:rFonts w:ascii="Arial" w:hAnsi="Arial" w:cs="Arial"/>
          <w:color w:val="000000"/>
        </w:rPr>
        <w:t>The 1999–2000: Residential Conversion &amp; Atria Insertion saw the following interventions:</w:t>
      </w:r>
    </w:p>
    <w:p w14:paraId="038AFCFA"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The creation of two large internal atria, formed by glazing over historic lightwells, with; steel walkways bridges, communal access decks</w:t>
      </w:r>
    </w:p>
    <w:p w14:paraId="0617A43E"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Insertion of raised access floors throughout much of the historic block to route mechanical and electrical services</w:t>
      </w:r>
    </w:p>
    <w:p w14:paraId="54049273"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New plasterboard partitions establishing apartment layouts- Installation of MF ceilings, suspended ceilings and service voids</w:t>
      </w:r>
    </w:p>
    <w:p w14:paraId="4E731AE5"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Formation of extensive services risers, ductwork routes and plant zones</w:t>
      </w:r>
    </w:p>
    <w:p w14:paraId="30DBAA38"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Upgrading or inserting new fire-compartmentation systems</w:t>
      </w:r>
    </w:p>
    <w:p w14:paraId="761DF6D0"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Construction of penthouses, built from modern lightweight materials, above the historic cornice line</w:t>
      </w:r>
    </w:p>
    <w:p w14:paraId="76928CE9"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Application of cladding and curtain walling to tower and penthouse areas</w:t>
      </w:r>
    </w:p>
    <w:p w14:paraId="6F34B084" w14:textId="77777777" w:rsidR="00BF210C" w:rsidRDefault="00BF210C" w:rsidP="00E80467">
      <w:pPr>
        <w:numPr>
          <w:ilvl w:val="0"/>
          <w:numId w:val="9"/>
        </w:numPr>
        <w:spacing w:before="100" w:beforeAutospacing="1" w:after="100" w:afterAutospacing="1"/>
        <w:jc w:val="both"/>
        <w:divId w:val="1028985974"/>
        <w:rPr>
          <w:rFonts w:eastAsia="Times New Roman" w:cs="Arial"/>
          <w:color w:val="000000"/>
        </w:rPr>
      </w:pPr>
      <w:r>
        <w:rPr>
          <w:rFonts w:eastAsia="Times New Roman" w:cs="Arial"/>
          <w:color w:val="000000"/>
        </w:rPr>
        <w:t>Re-routing and consolidating building-wide ventilation systems and communal ductwork</w:t>
      </w:r>
    </w:p>
    <w:p w14:paraId="5364AB1E" w14:textId="77777777" w:rsidR="00BF210C" w:rsidRDefault="00BF210C" w:rsidP="00E80467">
      <w:pPr>
        <w:pStyle w:val="NormalWeb"/>
        <w:jc w:val="both"/>
        <w:divId w:val="1028985974"/>
        <w:rPr>
          <w:rFonts w:ascii="Arial" w:hAnsi="Arial" w:cs="Arial"/>
          <w:color w:val="000000"/>
        </w:rPr>
      </w:pPr>
      <w:r>
        <w:rPr>
          <w:rFonts w:ascii="Arial" w:hAnsi="Arial" w:cs="Arial"/>
          <w:color w:val="000000"/>
        </w:rPr>
        <w:t>The building’s south elevation forms part of a coherent Edwardian and interwar architectural ensemble around Parsonage Gardens—an important green space within the Conservation Area. Its elevated, ornate façade forms a defining element of the local townscape.</w:t>
      </w:r>
    </w:p>
    <w:p w14:paraId="58057EC8" w14:textId="77777777" w:rsidR="00EF3E10" w:rsidRPr="00157396" w:rsidRDefault="00EF3E10" w:rsidP="00E80467">
      <w:pPr>
        <w:pStyle w:val="Heading1"/>
        <w:jc w:val="both"/>
        <w:rPr>
          <w:u w:val="single"/>
        </w:rPr>
      </w:pPr>
      <w:r w:rsidRPr="00157396">
        <w:rPr>
          <w:u w:val="single"/>
        </w:rPr>
        <w:t>Description of development</w:t>
      </w:r>
    </w:p>
    <w:p w14:paraId="28BCADF2" w14:textId="0F06FCB6" w:rsidR="00AC0908" w:rsidRPr="006540F7" w:rsidRDefault="006540F7" w:rsidP="006540F7">
      <w:pPr>
        <w:pStyle w:val="NormalWeb"/>
        <w:jc w:val="both"/>
        <w:divId w:val="298340768"/>
        <w:rPr>
          <w:rFonts w:ascii="Arial" w:hAnsi="Arial" w:cs="Arial"/>
        </w:rPr>
      </w:pPr>
      <w:r w:rsidRPr="006540F7">
        <w:rPr>
          <w:rFonts w:ascii="Arial" w:hAnsi="Arial" w:cs="Arial"/>
        </w:rPr>
        <w:t>Listed</w:t>
      </w:r>
      <w:r w:rsidR="00BF210C" w:rsidRPr="006540F7">
        <w:rPr>
          <w:rFonts w:ascii="Arial" w:hAnsi="Arial" w:cs="Arial"/>
        </w:rPr>
        <w:t xml:space="preserve"> Building Consent </w:t>
      </w:r>
      <w:r w:rsidRPr="006540F7">
        <w:rPr>
          <w:rFonts w:ascii="Arial" w:hAnsi="Arial" w:cs="Arial"/>
        </w:rPr>
        <w:t xml:space="preserve">is sought for opening works </w:t>
      </w:r>
      <w:r w:rsidR="00803386" w:rsidRPr="006540F7">
        <w:rPr>
          <w:rFonts w:ascii="Arial" w:hAnsi="Arial" w:cs="Arial"/>
        </w:rPr>
        <w:t>for</w:t>
      </w:r>
      <w:r w:rsidRPr="006540F7">
        <w:rPr>
          <w:rFonts w:ascii="Arial" w:hAnsi="Arial" w:cs="Arial"/>
        </w:rPr>
        <w:t xml:space="preserve"> investigative, and remediation works associated with fire safety.</w:t>
      </w:r>
    </w:p>
    <w:p w14:paraId="551B5458" w14:textId="312A577F" w:rsidR="006540F7" w:rsidRPr="006540F7" w:rsidRDefault="006540F7" w:rsidP="006540F7">
      <w:pPr>
        <w:pStyle w:val="NormalWeb"/>
        <w:jc w:val="both"/>
        <w:divId w:val="298340768"/>
        <w:rPr>
          <w:rFonts w:ascii="Arial" w:hAnsi="Arial" w:cs="Arial"/>
        </w:rPr>
      </w:pPr>
      <w:r w:rsidRPr="006540F7">
        <w:rPr>
          <w:rFonts w:ascii="Arial" w:hAnsi="Arial" w:cs="Arial"/>
        </w:rPr>
        <w:t xml:space="preserve">All penetrations are to be made </w:t>
      </w:r>
      <w:r w:rsidR="0055163E" w:rsidRPr="006540F7">
        <w:rPr>
          <w:rFonts w:ascii="Arial" w:hAnsi="Arial" w:cs="Arial"/>
        </w:rPr>
        <w:t>good,</w:t>
      </w:r>
      <w:r w:rsidRPr="006540F7">
        <w:rPr>
          <w:rFonts w:ascii="Arial" w:hAnsi="Arial" w:cs="Arial"/>
        </w:rPr>
        <w:t xml:space="preserve"> and </w:t>
      </w:r>
      <w:r w:rsidR="00CE4503">
        <w:rPr>
          <w:rFonts w:ascii="Arial" w:hAnsi="Arial" w:cs="Arial"/>
        </w:rPr>
        <w:t xml:space="preserve">the area of works restored back to the </w:t>
      </w:r>
      <w:r w:rsidRPr="006540F7">
        <w:rPr>
          <w:rFonts w:ascii="Arial" w:hAnsi="Arial" w:cs="Arial"/>
        </w:rPr>
        <w:t>original appearance.</w:t>
      </w:r>
    </w:p>
    <w:p w14:paraId="504E98A3" w14:textId="5B0AFEDB" w:rsidR="00BF210C" w:rsidRDefault="00BF210C" w:rsidP="00E80467">
      <w:pPr>
        <w:pStyle w:val="NormalWeb"/>
        <w:jc w:val="both"/>
        <w:divId w:val="298340768"/>
        <w:rPr>
          <w:rFonts w:ascii="Arial" w:hAnsi="Arial" w:cs="Arial"/>
          <w:color w:val="000000"/>
        </w:rPr>
      </w:pPr>
      <w:r>
        <w:rPr>
          <w:rStyle w:val="Strong"/>
          <w:rFonts w:ascii="Arial" w:hAnsi="Arial" w:cs="Arial"/>
          <w:color w:val="000000"/>
          <w:u w:val="single"/>
        </w:rPr>
        <w:t>Related Applications</w:t>
      </w:r>
    </w:p>
    <w:p w14:paraId="7BDD5015" w14:textId="69EB8431" w:rsidR="00BF210C" w:rsidRDefault="00BF210C" w:rsidP="00E80467">
      <w:pPr>
        <w:pStyle w:val="NormalWeb"/>
        <w:jc w:val="both"/>
        <w:divId w:val="298340768"/>
        <w:rPr>
          <w:rFonts w:ascii="Arial" w:hAnsi="Arial" w:cs="Arial"/>
          <w:color w:val="000000"/>
        </w:rPr>
      </w:pPr>
      <w:r>
        <w:rPr>
          <w:rStyle w:val="Strong"/>
          <w:rFonts w:ascii="Arial" w:hAnsi="Arial" w:cs="Arial"/>
          <w:color w:val="000000"/>
        </w:rPr>
        <w:t xml:space="preserve">128652/FO/2020 - </w:t>
      </w:r>
      <w:r>
        <w:rPr>
          <w:rFonts w:ascii="Arial" w:hAnsi="Arial" w:cs="Arial"/>
          <w:color w:val="000000"/>
        </w:rPr>
        <w:t>Elevational alterations to include replacement of various existing cladding materials with alternative non-combustible cladding types.</w:t>
      </w:r>
      <w:r w:rsidR="00157396">
        <w:rPr>
          <w:rFonts w:ascii="Arial" w:hAnsi="Arial" w:cs="Arial"/>
          <w:color w:val="000000"/>
        </w:rPr>
        <w:t xml:space="preserve"> </w:t>
      </w:r>
      <w:r>
        <w:rPr>
          <w:rStyle w:val="Emphasis"/>
          <w:rFonts w:ascii="Arial" w:hAnsi="Arial" w:cs="Arial"/>
          <w:b/>
          <w:bCs/>
          <w:color w:val="000000"/>
        </w:rPr>
        <w:t>Approved April 2021.</w:t>
      </w:r>
    </w:p>
    <w:p w14:paraId="6B30666E" w14:textId="7BD71FEE" w:rsidR="00BF210C" w:rsidRDefault="00BF210C" w:rsidP="00E80467">
      <w:pPr>
        <w:pStyle w:val="NormalWeb"/>
        <w:jc w:val="both"/>
        <w:divId w:val="298340768"/>
        <w:rPr>
          <w:rFonts w:ascii="Arial" w:hAnsi="Arial" w:cs="Arial"/>
          <w:color w:val="000000"/>
        </w:rPr>
      </w:pPr>
      <w:r>
        <w:rPr>
          <w:rStyle w:val="Strong"/>
          <w:rFonts w:ascii="Arial" w:hAnsi="Arial" w:cs="Arial"/>
          <w:color w:val="000000"/>
        </w:rPr>
        <w:t xml:space="preserve">CDN/23/0859 - </w:t>
      </w:r>
      <w:r>
        <w:rPr>
          <w:rFonts w:ascii="Arial" w:hAnsi="Arial" w:cs="Arial"/>
          <w:color w:val="000000"/>
        </w:rPr>
        <w:t>Discharge of Condition 3b (Materials) attached to Planning Permission 128652/FO/2020.</w:t>
      </w:r>
      <w:r w:rsidR="00157396">
        <w:rPr>
          <w:rFonts w:ascii="Arial" w:hAnsi="Arial" w:cs="Arial"/>
          <w:color w:val="000000"/>
        </w:rPr>
        <w:t xml:space="preserve"> </w:t>
      </w:r>
      <w:r>
        <w:rPr>
          <w:rStyle w:val="Emphasis"/>
          <w:rFonts w:ascii="Arial" w:hAnsi="Arial" w:cs="Arial"/>
          <w:b/>
          <w:bCs/>
          <w:color w:val="000000"/>
        </w:rPr>
        <w:t>Approved February 2024.</w:t>
      </w:r>
    </w:p>
    <w:p w14:paraId="34ECD88A" w14:textId="77777777" w:rsidR="00EF3E10" w:rsidRPr="00157396" w:rsidRDefault="00C62A32" w:rsidP="00E80467">
      <w:pPr>
        <w:pStyle w:val="Heading1"/>
        <w:jc w:val="both"/>
        <w:rPr>
          <w:u w:val="single"/>
        </w:rPr>
      </w:pPr>
      <w:r w:rsidRPr="00157396">
        <w:rPr>
          <w:u w:val="single"/>
        </w:rPr>
        <w:t>Consultation, notification and publicity responses</w:t>
      </w:r>
    </w:p>
    <w:p w14:paraId="215BE9CF" w14:textId="06F0E8B9" w:rsidR="00EF3E10" w:rsidRPr="00157396" w:rsidRDefault="00BF210C" w:rsidP="00E80467">
      <w:pPr>
        <w:pStyle w:val="NormalWeb"/>
        <w:jc w:val="both"/>
        <w:divId w:val="1533880946"/>
        <w:rPr>
          <w:rFonts w:ascii="Arial" w:hAnsi="Arial" w:cs="Arial"/>
          <w:color w:val="000000"/>
        </w:rPr>
      </w:pPr>
      <w:r>
        <w:rPr>
          <w:rStyle w:val="Strong"/>
          <w:rFonts w:ascii="Arial" w:hAnsi="Arial" w:cs="Arial"/>
          <w:color w:val="000000"/>
        </w:rPr>
        <w:t xml:space="preserve">Publicity - </w:t>
      </w:r>
      <w:r>
        <w:rPr>
          <w:rFonts w:ascii="Arial" w:hAnsi="Arial" w:cs="Arial"/>
          <w:color w:val="000000"/>
        </w:rPr>
        <w:t>Neighbour notification letters were sent to surrounding properties. A site notice and local press advert were also produced. At the time of writing this report, no representations have been received because of this publicity.</w:t>
      </w:r>
    </w:p>
    <w:p w14:paraId="00CD70F6" w14:textId="77777777" w:rsidR="00EF3E10" w:rsidRPr="00157396" w:rsidRDefault="00EF3E10" w:rsidP="00E80467">
      <w:pPr>
        <w:pStyle w:val="Heading1"/>
        <w:jc w:val="both"/>
        <w:rPr>
          <w:u w:val="single"/>
        </w:rPr>
      </w:pPr>
      <w:r w:rsidRPr="00157396">
        <w:rPr>
          <w:u w:val="single"/>
        </w:rPr>
        <w:t>Relevant policies</w:t>
      </w:r>
    </w:p>
    <w:p w14:paraId="64733B39" w14:textId="77777777" w:rsidR="00BF210C" w:rsidRDefault="00BF210C" w:rsidP="00E80467">
      <w:pPr>
        <w:pStyle w:val="NormalWeb"/>
        <w:jc w:val="both"/>
        <w:divId w:val="38172878"/>
        <w:rPr>
          <w:rFonts w:ascii="Arial" w:hAnsi="Arial" w:cs="Arial"/>
          <w:color w:val="000000"/>
        </w:rPr>
      </w:pPr>
      <w:r>
        <w:rPr>
          <w:rFonts w:ascii="Arial" w:hAnsi="Arial" w:cs="Arial"/>
          <w:color w:val="000000"/>
        </w:rPr>
        <w:t xml:space="preserve">The </w:t>
      </w:r>
      <w:r>
        <w:rPr>
          <w:rStyle w:val="Strong"/>
          <w:rFonts w:ascii="Arial" w:hAnsi="Arial" w:cs="Arial"/>
          <w:color w:val="000000"/>
        </w:rPr>
        <w:t>Places for Everyone Plan - Joint Development Plan Document</w:t>
      </w:r>
      <w:r>
        <w:rPr>
          <w:rFonts w:ascii="Arial" w:hAnsi="Arial" w:cs="Arial"/>
          <w:color w:val="000000"/>
        </w:rPr>
        <w:t xml:space="preserve">, for nine of the 10 boroughs which make up Greater Manchester adopted on 21st of March 2024: </w:t>
      </w:r>
    </w:p>
    <w:p w14:paraId="33B3D9D8" w14:textId="77777777" w:rsidR="00BF210C" w:rsidRDefault="00BF210C" w:rsidP="00E80467">
      <w:pPr>
        <w:numPr>
          <w:ilvl w:val="0"/>
          <w:numId w:val="10"/>
        </w:numPr>
        <w:spacing w:before="100" w:beforeAutospacing="1" w:after="100" w:afterAutospacing="1"/>
        <w:jc w:val="both"/>
        <w:divId w:val="38172878"/>
        <w:rPr>
          <w:rFonts w:eastAsia="Times New Roman" w:cs="Arial"/>
          <w:color w:val="000000"/>
        </w:rPr>
      </w:pPr>
      <w:r>
        <w:rPr>
          <w:rFonts w:eastAsia="Times New Roman" w:cs="Arial"/>
          <w:color w:val="000000"/>
        </w:rPr>
        <w:lastRenderedPageBreak/>
        <w:t xml:space="preserve">Policy JP-Strat2 - City Centre </w:t>
      </w:r>
    </w:p>
    <w:p w14:paraId="15B8F423" w14:textId="77777777" w:rsidR="00BF210C" w:rsidRDefault="00BF210C" w:rsidP="00E80467">
      <w:pPr>
        <w:numPr>
          <w:ilvl w:val="0"/>
          <w:numId w:val="10"/>
        </w:numPr>
        <w:spacing w:before="100" w:beforeAutospacing="1" w:after="100" w:afterAutospacing="1"/>
        <w:jc w:val="both"/>
        <w:divId w:val="38172878"/>
        <w:rPr>
          <w:rFonts w:eastAsia="Times New Roman" w:cs="Arial"/>
          <w:color w:val="000000"/>
        </w:rPr>
      </w:pPr>
      <w:r>
        <w:rPr>
          <w:rFonts w:eastAsia="Times New Roman" w:cs="Arial"/>
          <w:color w:val="000000"/>
        </w:rPr>
        <w:t xml:space="preserve">Policy JP-P1 - Sustainable Places </w:t>
      </w:r>
    </w:p>
    <w:p w14:paraId="3F7957A4" w14:textId="48E28B37" w:rsidR="00BF210C" w:rsidRPr="00157396" w:rsidRDefault="00BF210C" w:rsidP="00E80467">
      <w:pPr>
        <w:numPr>
          <w:ilvl w:val="0"/>
          <w:numId w:val="10"/>
        </w:numPr>
        <w:spacing w:before="100" w:beforeAutospacing="1" w:after="100" w:afterAutospacing="1"/>
        <w:jc w:val="both"/>
        <w:divId w:val="38172878"/>
        <w:rPr>
          <w:rFonts w:eastAsia="Times New Roman" w:cs="Arial"/>
          <w:color w:val="000000"/>
        </w:rPr>
      </w:pPr>
      <w:r>
        <w:rPr>
          <w:rFonts w:eastAsia="Times New Roman" w:cs="Arial"/>
          <w:color w:val="000000"/>
        </w:rPr>
        <w:t>Policy JP-P2 - Heritage </w:t>
      </w:r>
    </w:p>
    <w:p w14:paraId="2D23F217" w14:textId="77777777" w:rsidR="00BF210C" w:rsidRDefault="00BF210C" w:rsidP="00E80467">
      <w:pPr>
        <w:pStyle w:val="NormalWeb"/>
        <w:jc w:val="both"/>
        <w:divId w:val="38172878"/>
        <w:rPr>
          <w:rFonts w:ascii="Arial" w:hAnsi="Arial" w:cs="Arial"/>
          <w:color w:val="000000"/>
        </w:rPr>
      </w:pPr>
      <w:r>
        <w:rPr>
          <w:rFonts w:ascii="Arial" w:hAnsi="Arial" w:cs="Arial"/>
          <w:color w:val="000000"/>
        </w:rPr>
        <w:t xml:space="preserve">The </w:t>
      </w:r>
      <w:r>
        <w:rPr>
          <w:rStyle w:val="Strong"/>
          <w:rFonts w:ascii="Arial" w:hAnsi="Arial" w:cs="Arial"/>
          <w:color w:val="000000"/>
        </w:rPr>
        <w:t xml:space="preserve">Manchester Core Strategy - Development Plan Document 2012-2027 ("the Core Strategy") </w:t>
      </w:r>
      <w:r>
        <w:rPr>
          <w:rFonts w:ascii="Arial" w:hAnsi="Arial" w:cs="Arial"/>
          <w:color w:val="000000"/>
        </w:rPr>
        <w:t xml:space="preserve">was adopted by the City Council on the 11th of July 2012: </w:t>
      </w:r>
    </w:p>
    <w:p w14:paraId="570B2915" w14:textId="77777777" w:rsidR="00BF210C" w:rsidRDefault="00BF210C" w:rsidP="00E80467">
      <w:pPr>
        <w:numPr>
          <w:ilvl w:val="0"/>
          <w:numId w:val="11"/>
        </w:numPr>
        <w:spacing w:before="100" w:beforeAutospacing="1" w:after="100" w:afterAutospacing="1"/>
        <w:jc w:val="both"/>
        <w:divId w:val="38172878"/>
        <w:rPr>
          <w:rFonts w:eastAsia="Times New Roman" w:cs="Arial"/>
          <w:color w:val="000000"/>
        </w:rPr>
      </w:pPr>
      <w:r>
        <w:rPr>
          <w:rFonts w:eastAsia="Times New Roman" w:cs="Arial"/>
          <w:color w:val="000000"/>
        </w:rPr>
        <w:t xml:space="preserve">Policy CC9 - Design and Heritage </w:t>
      </w:r>
    </w:p>
    <w:p w14:paraId="6233E477" w14:textId="77777777" w:rsidR="00BF210C" w:rsidRDefault="00BF210C" w:rsidP="00E80467">
      <w:pPr>
        <w:numPr>
          <w:ilvl w:val="0"/>
          <w:numId w:val="11"/>
        </w:numPr>
        <w:spacing w:before="100" w:beforeAutospacing="1" w:after="100" w:afterAutospacing="1"/>
        <w:jc w:val="both"/>
        <w:divId w:val="38172878"/>
        <w:rPr>
          <w:rFonts w:eastAsia="Times New Roman" w:cs="Arial"/>
          <w:color w:val="000000"/>
        </w:rPr>
      </w:pPr>
      <w:r>
        <w:rPr>
          <w:rFonts w:eastAsia="Times New Roman" w:cs="Arial"/>
          <w:color w:val="000000"/>
        </w:rPr>
        <w:t xml:space="preserve">Policy EN1 - Design Principles and Strategic Character Areas </w:t>
      </w:r>
    </w:p>
    <w:p w14:paraId="7BD0A143" w14:textId="77777777" w:rsidR="00BF210C" w:rsidRDefault="00BF210C" w:rsidP="00E80467">
      <w:pPr>
        <w:numPr>
          <w:ilvl w:val="0"/>
          <w:numId w:val="11"/>
        </w:numPr>
        <w:spacing w:before="100" w:beforeAutospacing="1" w:after="100" w:afterAutospacing="1"/>
        <w:jc w:val="both"/>
        <w:divId w:val="38172878"/>
        <w:rPr>
          <w:rFonts w:eastAsia="Times New Roman" w:cs="Arial"/>
          <w:color w:val="000000"/>
        </w:rPr>
      </w:pPr>
      <w:r>
        <w:rPr>
          <w:rFonts w:eastAsia="Times New Roman" w:cs="Arial"/>
          <w:color w:val="000000"/>
        </w:rPr>
        <w:t xml:space="preserve">Policy EN3 - Heritage </w:t>
      </w:r>
    </w:p>
    <w:p w14:paraId="0DC78719" w14:textId="77777777" w:rsidR="00BF210C" w:rsidRDefault="00BF210C" w:rsidP="00E80467">
      <w:pPr>
        <w:numPr>
          <w:ilvl w:val="0"/>
          <w:numId w:val="11"/>
        </w:numPr>
        <w:spacing w:before="100" w:beforeAutospacing="1" w:after="100" w:afterAutospacing="1"/>
        <w:jc w:val="both"/>
        <w:divId w:val="38172878"/>
        <w:rPr>
          <w:rFonts w:eastAsia="Times New Roman" w:cs="Arial"/>
          <w:color w:val="000000"/>
        </w:rPr>
      </w:pPr>
      <w:r>
        <w:rPr>
          <w:rFonts w:eastAsia="Times New Roman" w:cs="Arial"/>
          <w:color w:val="000000"/>
        </w:rPr>
        <w:t xml:space="preserve">Policy SP1 - Spatial Principles </w:t>
      </w:r>
    </w:p>
    <w:p w14:paraId="38A0FC8A" w14:textId="119F2418" w:rsidR="00BF210C" w:rsidRPr="00157396" w:rsidRDefault="00BF210C" w:rsidP="00E80467">
      <w:pPr>
        <w:numPr>
          <w:ilvl w:val="0"/>
          <w:numId w:val="11"/>
        </w:numPr>
        <w:spacing w:before="100" w:beforeAutospacing="1" w:after="100" w:afterAutospacing="1"/>
        <w:jc w:val="both"/>
        <w:divId w:val="38172878"/>
        <w:rPr>
          <w:rFonts w:eastAsia="Times New Roman" w:cs="Arial"/>
          <w:color w:val="000000"/>
        </w:rPr>
      </w:pPr>
      <w:r>
        <w:rPr>
          <w:rFonts w:eastAsia="Times New Roman" w:cs="Arial"/>
          <w:color w:val="000000"/>
        </w:rPr>
        <w:t>Policy DM1 - Development Management</w:t>
      </w:r>
    </w:p>
    <w:p w14:paraId="130501FE" w14:textId="77777777" w:rsidR="00BF210C" w:rsidRDefault="00BF210C" w:rsidP="00E80467">
      <w:pPr>
        <w:pStyle w:val="NormalWeb"/>
        <w:jc w:val="both"/>
        <w:divId w:val="38172878"/>
        <w:rPr>
          <w:rFonts w:ascii="Arial" w:hAnsi="Arial" w:cs="Arial"/>
          <w:color w:val="000000"/>
        </w:rPr>
      </w:pPr>
      <w:r>
        <w:rPr>
          <w:rFonts w:ascii="Arial" w:hAnsi="Arial" w:cs="Arial"/>
          <w:color w:val="000000"/>
        </w:rPr>
        <w:t xml:space="preserve">Saved </w:t>
      </w:r>
      <w:r>
        <w:rPr>
          <w:rStyle w:val="Strong"/>
          <w:rFonts w:ascii="Arial" w:hAnsi="Arial" w:cs="Arial"/>
          <w:color w:val="000000"/>
        </w:rPr>
        <w:t>Unitary Development Plan for Manchester</w:t>
      </w:r>
      <w:r>
        <w:rPr>
          <w:rFonts w:ascii="Arial" w:hAnsi="Arial" w:cs="Arial"/>
          <w:color w:val="000000"/>
        </w:rPr>
        <w:t xml:space="preserve"> - The following saved UDP Policies are of relevance to this application: </w:t>
      </w:r>
    </w:p>
    <w:p w14:paraId="422A282B" w14:textId="77777777" w:rsidR="00BF210C" w:rsidRDefault="00BF210C" w:rsidP="00E80467">
      <w:pPr>
        <w:numPr>
          <w:ilvl w:val="0"/>
          <w:numId w:val="12"/>
        </w:numPr>
        <w:spacing w:before="100" w:beforeAutospacing="1" w:after="100" w:afterAutospacing="1"/>
        <w:jc w:val="both"/>
        <w:divId w:val="38172878"/>
        <w:rPr>
          <w:rFonts w:eastAsia="Times New Roman" w:cs="Arial"/>
          <w:color w:val="000000"/>
        </w:rPr>
      </w:pPr>
      <w:r>
        <w:rPr>
          <w:rFonts w:eastAsia="Times New Roman" w:cs="Arial"/>
          <w:color w:val="000000"/>
        </w:rPr>
        <w:t xml:space="preserve">Policy DC18 - Conservation Areas </w:t>
      </w:r>
    </w:p>
    <w:p w14:paraId="3790F6CD" w14:textId="47C614B5" w:rsidR="00BF210C" w:rsidRPr="00157396" w:rsidRDefault="00BF210C" w:rsidP="00E80467">
      <w:pPr>
        <w:numPr>
          <w:ilvl w:val="0"/>
          <w:numId w:val="12"/>
        </w:numPr>
        <w:spacing w:before="100" w:beforeAutospacing="1" w:after="100" w:afterAutospacing="1"/>
        <w:jc w:val="both"/>
        <w:divId w:val="38172878"/>
        <w:rPr>
          <w:rFonts w:eastAsia="Times New Roman" w:cs="Arial"/>
          <w:color w:val="000000"/>
        </w:rPr>
      </w:pPr>
      <w:r>
        <w:rPr>
          <w:rFonts w:eastAsia="Times New Roman" w:cs="Arial"/>
          <w:color w:val="000000"/>
        </w:rPr>
        <w:t>Policy DC19 - Listed Buildings</w:t>
      </w:r>
    </w:p>
    <w:p w14:paraId="4F58E36C" w14:textId="77777777" w:rsidR="00BF210C" w:rsidRDefault="00BF210C" w:rsidP="00E80467">
      <w:pPr>
        <w:pStyle w:val="NormalWeb"/>
        <w:jc w:val="both"/>
        <w:divId w:val="38172878"/>
        <w:rPr>
          <w:rFonts w:ascii="Arial" w:hAnsi="Arial" w:cs="Arial"/>
          <w:color w:val="000000"/>
        </w:rPr>
      </w:pPr>
      <w:r>
        <w:rPr>
          <w:rStyle w:val="Strong"/>
          <w:rFonts w:ascii="Arial" w:hAnsi="Arial" w:cs="Arial"/>
          <w:color w:val="000000"/>
        </w:rPr>
        <w:t xml:space="preserve">National Planning Policy Framework (NPPF) (2024) </w:t>
      </w:r>
    </w:p>
    <w:p w14:paraId="201994FB" w14:textId="77777777" w:rsidR="00BF210C" w:rsidRDefault="00BF210C" w:rsidP="00E80467">
      <w:pPr>
        <w:numPr>
          <w:ilvl w:val="0"/>
          <w:numId w:val="13"/>
        </w:numPr>
        <w:spacing w:before="100" w:beforeAutospacing="1" w:after="100" w:afterAutospacing="1"/>
        <w:jc w:val="both"/>
        <w:divId w:val="38172878"/>
        <w:rPr>
          <w:rFonts w:eastAsia="Times New Roman" w:cs="Arial"/>
          <w:color w:val="000000"/>
        </w:rPr>
      </w:pPr>
      <w:r>
        <w:rPr>
          <w:rFonts w:eastAsia="Times New Roman" w:cs="Arial"/>
          <w:color w:val="000000"/>
        </w:rPr>
        <w:t>Chapter 12 - Achieving well-designed places</w:t>
      </w:r>
    </w:p>
    <w:p w14:paraId="1075267F" w14:textId="77777777" w:rsidR="00BF210C" w:rsidRDefault="00BF210C" w:rsidP="00E80467">
      <w:pPr>
        <w:numPr>
          <w:ilvl w:val="0"/>
          <w:numId w:val="13"/>
        </w:numPr>
        <w:spacing w:before="100" w:beforeAutospacing="1" w:after="100" w:afterAutospacing="1"/>
        <w:jc w:val="both"/>
        <w:divId w:val="38172878"/>
        <w:rPr>
          <w:rFonts w:eastAsia="Times New Roman" w:cs="Arial"/>
          <w:color w:val="000000"/>
        </w:rPr>
      </w:pPr>
      <w:r>
        <w:rPr>
          <w:rFonts w:eastAsia="Times New Roman" w:cs="Arial"/>
          <w:color w:val="000000"/>
        </w:rPr>
        <w:t>Chapter 16 - Conserving and enhancing the historic environment </w:t>
      </w:r>
    </w:p>
    <w:p w14:paraId="6E8FFC8A" w14:textId="151534C1" w:rsidR="00BF210C" w:rsidRDefault="00BF210C" w:rsidP="00E80467">
      <w:pPr>
        <w:pStyle w:val="NormalWeb"/>
        <w:jc w:val="both"/>
        <w:divId w:val="38172878"/>
        <w:rPr>
          <w:rFonts w:ascii="Arial" w:hAnsi="Arial" w:cs="Arial"/>
          <w:color w:val="000000"/>
        </w:rPr>
      </w:pPr>
      <w:r>
        <w:rPr>
          <w:rStyle w:val="Strong"/>
          <w:rFonts w:ascii="Arial" w:hAnsi="Arial" w:cs="Arial"/>
          <w:color w:val="000000"/>
        </w:rPr>
        <w:t xml:space="preserve">Draft National Planning Policy Framework (NPPF) (2025) </w:t>
      </w:r>
    </w:p>
    <w:p w14:paraId="16654571" w14:textId="69959126" w:rsidR="00BF210C" w:rsidRDefault="00BF210C" w:rsidP="00E80467">
      <w:pPr>
        <w:pStyle w:val="NormalWeb"/>
        <w:jc w:val="both"/>
        <w:divId w:val="38172878"/>
        <w:rPr>
          <w:rFonts w:ascii="Arial" w:hAnsi="Arial" w:cs="Arial"/>
          <w:color w:val="000000"/>
        </w:rPr>
      </w:pPr>
      <w:r>
        <w:rPr>
          <w:rFonts w:ascii="Arial" w:hAnsi="Arial" w:cs="Arial"/>
          <w:color w:val="000000"/>
        </w:rPr>
        <w:t xml:space="preserve">The government has published a consultation National Planning Policy Framework which is intended to improve housebuilding rates through a clearer, more predictable and faster policy basis for decision and plan making. </w:t>
      </w:r>
    </w:p>
    <w:p w14:paraId="2EB5BB9B" w14:textId="19860A30" w:rsidR="00BF210C" w:rsidRDefault="00BF210C" w:rsidP="00E80467">
      <w:pPr>
        <w:pStyle w:val="NormalWeb"/>
        <w:jc w:val="both"/>
        <w:divId w:val="38172878"/>
        <w:rPr>
          <w:rFonts w:ascii="Arial" w:hAnsi="Arial" w:cs="Arial"/>
          <w:color w:val="000000"/>
        </w:rPr>
      </w:pPr>
      <w:r>
        <w:rPr>
          <w:rFonts w:ascii="Arial" w:hAnsi="Arial" w:cs="Arial"/>
          <w:color w:val="000000"/>
        </w:rPr>
        <w:t xml:space="preserve">Whilst this is a draft NPPF for consultation it is considered that the development proposals are in accordance with the general thrust of policy contained within it. </w:t>
      </w:r>
    </w:p>
    <w:p w14:paraId="2C4118DF" w14:textId="29EE521F" w:rsidR="00BF210C" w:rsidRDefault="00BF210C" w:rsidP="00E80467">
      <w:pPr>
        <w:pStyle w:val="NormalWeb"/>
        <w:jc w:val="both"/>
        <w:divId w:val="38172878"/>
        <w:rPr>
          <w:rFonts w:ascii="Arial" w:hAnsi="Arial" w:cs="Arial"/>
          <w:color w:val="000000"/>
        </w:rPr>
      </w:pPr>
      <w:r>
        <w:rPr>
          <w:rFonts w:ascii="Arial" w:hAnsi="Arial" w:cs="Arial"/>
          <w:color w:val="000000"/>
        </w:rPr>
        <w:t xml:space="preserve">As set out in the printed report no adverse impacts have been identified through consideration of the application proposals that would outweigh a positive decision in this instance. </w:t>
      </w:r>
    </w:p>
    <w:p w14:paraId="0A7E5BB2" w14:textId="36D137A5" w:rsidR="00BF210C" w:rsidRDefault="00BF210C" w:rsidP="00E80467">
      <w:pPr>
        <w:pStyle w:val="NormalWeb"/>
        <w:jc w:val="both"/>
        <w:divId w:val="38172878"/>
        <w:rPr>
          <w:rFonts w:ascii="Arial" w:hAnsi="Arial" w:cs="Arial"/>
          <w:color w:val="000000"/>
        </w:rPr>
      </w:pPr>
      <w:r>
        <w:rPr>
          <w:rStyle w:val="Strong"/>
          <w:rFonts w:ascii="Arial" w:hAnsi="Arial" w:cs="Arial"/>
          <w:color w:val="000000"/>
        </w:rPr>
        <w:t>Planning (Listed Buildings and Conservation Areas) Act 1990</w:t>
      </w:r>
    </w:p>
    <w:p w14:paraId="2C907702" w14:textId="77777777" w:rsidR="00EF3E10" w:rsidRPr="00157396" w:rsidRDefault="00EF3E10" w:rsidP="00E80467">
      <w:pPr>
        <w:pStyle w:val="Heading1"/>
        <w:jc w:val="both"/>
        <w:rPr>
          <w:u w:val="single"/>
        </w:rPr>
      </w:pPr>
      <w:r w:rsidRPr="00157396">
        <w:rPr>
          <w:u w:val="single"/>
        </w:rPr>
        <w:t>Assessment</w:t>
      </w:r>
    </w:p>
    <w:p w14:paraId="74F01F6F" w14:textId="3B4269FF" w:rsidR="00BF210C" w:rsidRDefault="006540F7" w:rsidP="00E80467">
      <w:pPr>
        <w:pStyle w:val="NormalWeb"/>
        <w:jc w:val="both"/>
        <w:divId w:val="1362587132"/>
        <w:rPr>
          <w:rFonts w:ascii="Arial" w:hAnsi="Arial" w:cs="Arial"/>
          <w:color w:val="000000"/>
        </w:rPr>
      </w:pPr>
      <w:r>
        <w:rPr>
          <w:rStyle w:val="Strong"/>
          <w:rFonts w:ascii="Arial" w:hAnsi="Arial" w:cs="Arial"/>
          <w:color w:val="000000"/>
        </w:rPr>
        <w:t>Impact on the listed building</w:t>
      </w:r>
    </w:p>
    <w:p w14:paraId="1361FD89" w14:textId="60D486E1" w:rsidR="00BF210C" w:rsidRDefault="00BF210C" w:rsidP="00E80467">
      <w:pPr>
        <w:pStyle w:val="NormalWeb"/>
        <w:jc w:val="both"/>
        <w:divId w:val="1362587132"/>
        <w:rPr>
          <w:rFonts w:ascii="Arial" w:hAnsi="Arial" w:cs="Arial"/>
          <w:color w:val="000000"/>
        </w:rPr>
      </w:pPr>
      <w:r>
        <w:rPr>
          <w:rFonts w:ascii="Arial" w:hAnsi="Arial" w:cs="Arial"/>
          <w:color w:val="000000"/>
        </w:rPr>
        <w:t>The significance of the building is derive</w:t>
      </w:r>
      <w:r w:rsidR="00157396">
        <w:rPr>
          <w:rFonts w:ascii="Arial" w:hAnsi="Arial" w:cs="Arial"/>
          <w:color w:val="000000"/>
        </w:rPr>
        <w:t>d</w:t>
      </w:r>
      <w:r>
        <w:rPr>
          <w:rFonts w:ascii="Arial" w:hAnsi="Arial" w:cs="Arial"/>
          <w:color w:val="000000"/>
        </w:rPr>
        <w:t xml:space="preserve"> from the 1905–1909 Edwardian block's architectural composition, materials, and contribution to the character and appearance of the surrounding townscape, particularly in relation to Parsonage Gardens.</w:t>
      </w:r>
    </w:p>
    <w:p w14:paraId="37613989" w14:textId="54475B99" w:rsidR="00BF210C" w:rsidRDefault="00BF210C" w:rsidP="00E80467">
      <w:pPr>
        <w:pStyle w:val="NormalWeb"/>
        <w:jc w:val="both"/>
        <w:divId w:val="1362587132"/>
        <w:rPr>
          <w:rFonts w:ascii="Arial" w:hAnsi="Arial" w:cs="Arial"/>
          <w:color w:val="000000"/>
        </w:rPr>
      </w:pPr>
      <w:r>
        <w:rPr>
          <w:rFonts w:ascii="Arial" w:hAnsi="Arial" w:cs="Arial"/>
          <w:color w:val="000000"/>
        </w:rPr>
        <w:t>The building is recognised for its well-composed principal elevation, which exhibits characteristics typical of high-quality commercial architecture of the period, including strong vertical articulation, regular bay spacing, and the use of durable and decorative façade materials. These features contribute to a coherent and legible architectural form that reinforces the building’s presence within the Conservation Area.</w:t>
      </w:r>
    </w:p>
    <w:p w14:paraId="30F8F42B" w14:textId="73849B31" w:rsidR="00BF210C" w:rsidRDefault="00BF210C" w:rsidP="00E80467">
      <w:pPr>
        <w:pStyle w:val="NormalWeb"/>
        <w:jc w:val="both"/>
        <w:divId w:val="1362587132"/>
        <w:rPr>
          <w:rFonts w:ascii="Arial" w:hAnsi="Arial" w:cs="Arial"/>
          <w:color w:val="000000"/>
        </w:rPr>
      </w:pPr>
      <w:r>
        <w:rPr>
          <w:rFonts w:ascii="Arial" w:hAnsi="Arial" w:cs="Arial"/>
          <w:color w:val="000000"/>
        </w:rPr>
        <w:lastRenderedPageBreak/>
        <w:t>The listed status applies to the building as a whole, including later phases of alteration and extension. However, as is typical for buildings of this type, significance is understood to be concentrated in the original external envelope, overall form, and structural expression, with later internal alterations generally making a more limited contribution to the building’s special interest.</w:t>
      </w:r>
    </w:p>
    <w:p w14:paraId="59BBE5A5" w14:textId="77777777" w:rsidR="00BF210C" w:rsidRDefault="00BF210C" w:rsidP="00E80467">
      <w:pPr>
        <w:pStyle w:val="NormalWeb"/>
        <w:jc w:val="both"/>
        <w:divId w:val="1362587132"/>
        <w:rPr>
          <w:rFonts w:ascii="Arial" w:hAnsi="Arial" w:cs="Arial"/>
          <w:color w:val="000000"/>
        </w:rPr>
      </w:pPr>
      <w:r>
        <w:rPr>
          <w:rFonts w:ascii="Arial" w:hAnsi="Arial" w:cs="Arial"/>
          <w:color w:val="000000"/>
        </w:rPr>
        <w:t>While the internal arrangement has undergone substantial change, aspects of this phase survive:</w:t>
      </w:r>
    </w:p>
    <w:p w14:paraId="1865C47C" w14:textId="77777777" w:rsidR="00BF210C" w:rsidRDefault="00BF210C" w:rsidP="00E80467">
      <w:pPr>
        <w:numPr>
          <w:ilvl w:val="0"/>
          <w:numId w:val="15"/>
        </w:numPr>
        <w:spacing w:before="100" w:beforeAutospacing="1" w:after="100" w:afterAutospacing="1"/>
        <w:jc w:val="both"/>
        <w:divId w:val="1362587132"/>
        <w:rPr>
          <w:rFonts w:eastAsia="Times New Roman" w:cs="Arial"/>
          <w:color w:val="000000"/>
        </w:rPr>
      </w:pPr>
      <w:r>
        <w:rPr>
          <w:rFonts w:eastAsia="Times New Roman" w:cs="Arial"/>
          <w:color w:val="000000"/>
        </w:rPr>
        <w:t>The primary structural frame</w:t>
      </w:r>
    </w:p>
    <w:p w14:paraId="132F7ED9" w14:textId="77777777" w:rsidR="00BF210C" w:rsidRDefault="00BF210C" w:rsidP="00E80467">
      <w:pPr>
        <w:numPr>
          <w:ilvl w:val="0"/>
          <w:numId w:val="15"/>
        </w:numPr>
        <w:spacing w:before="100" w:beforeAutospacing="1" w:after="100" w:afterAutospacing="1"/>
        <w:jc w:val="both"/>
        <w:divId w:val="1362587132"/>
        <w:rPr>
          <w:rFonts w:eastAsia="Times New Roman" w:cs="Arial"/>
          <w:color w:val="000000"/>
        </w:rPr>
      </w:pPr>
      <w:r>
        <w:rPr>
          <w:rFonts w:eastAsia="Times New Roman" w:cs="Arial"/>
          <w:color w:val="000000"/>
        </w:rPr>
        <w:t>Terracotta façades</w:t>
      </w:r>
    </w:p>
    <w:p w14:paraId="20220E58" w14:textId="77777777" w:rsidR="00BF210C" w:rsidRDefault="00BF210C" w:rsidP="00E80467">
      <w:pPr>
        <w:numPr>
          <w:ilvl w:val="0"/>
          <w:numId w:val="15"/>
        </w:numPr>
        <w:spacing w:before="100" w:beforeAutospacing="1" w:after="100" w:afterAutospacing="1"/>
        <w:jc w:val="both"/>
        <w:divId w:val="1362587132"/>
        <w:rPr>
          <w:rFonts w:eastAsia="Times New Roman" w:cs="Arial"/>
          <w:color w:val="000000"/>
        </w:rPr>
      </w:pPr>
      <w:r>
        <w:rPr>
          <w:rFonts w:eastAsia="Times New Roman" w:cs="Arial"/>
          <w:color w:val="000000"/>
        </w:rPr>
        <w:t>The original massing and spatial envelope</w:t>
      </w:r>
    </w:p>
    <w:p w14:paraId="558D12B2" w14:textId="77777777" w:rsidR="00BF210C" w:rsidRDefault="00BF210C" w:rsidP="00E80467">
      <w:pPr>
        <w:numPr>
          <w:ilvl w:val="0"/>
          <w:numId w:val="15"/>
        </w:numPr>
        <w:spacing w:before="100" w:beforeAutospacing="1" w:after="100" w:afterAutospacing="1"/>
        <w:jc w:val="both"/>
        <w:divId w:val="1362587132"/>
        <w:rPr>
          <w:rFonts w:eastAsia="Times New Roman" w:cs="Arial"/>
          <w:color w:val="000000"/>
        </w:rPr>
      </w:pPr>
      <w:r>
        <w:rPr>
          <w:rFonts w:eastAsia="Times New Roman" w:cs="Arial"/>
          <w:color w:val="000000"/>
        </w:rPr>
        <w:t>Elements of circulation and residual floorplate geometry</w:t>
      </w:r>
    </w:p>
    <w:p w14:paraId="166CF68A" w14:textId="12C27A6F" w:rsidR="00BF210C" w:rsidRDefault="00BF210C" w:rsidP="00E80467">
      <w:pPr>
        <w:pStyle w:val="NormalWeb"/>
        <w:jc w:val="both"/>
        <w:divId w:val="1362587132"/>
        <w:rPr>
          <w:rFonts w:ascii="Arial" w:hAnsi="Arial" w:cs="Arial"/>
          <w:color w:val="000000"/>
        </w:rPr>
      </w:pPr>
      <w:r>
        <w:rPr>
          <w:rFonts w:ascii="Arial" w:hAnsi="Arial" w:cs="Arial"/>
          <w:color w:val="000000"/>
        </w:rPr>
        <w:t>Subsequent phases of development—including mid-20th-century additions and late 20th-century conversion works—form part of the building’s evolution. While these elements contribute to an understanding of the building’s continued use and adaptation, they are typically of lesser heritage significance when compared to the principal early 20th-century fabric.</w:t>
      </w:r>
    </w:p>
    <w:p w14:paraId="01C45620" w14:textId="49DFB895" w:rsidR="00BF210C" w:rsidRDefault="00BF210C" w:rsidP="00E80467">
      <w:pPr>
        <w:pStyle w:val="NormalWeb"/>
        <w:jc w:val="both"/>
        <w:divId w:val="1362587132"/>
        <w:rPr>
          <w:rFonts w:ascii="Arial" w:hAnsi="Arial" w:cs="Arial"/>
          <w:color w:val="000000"/>
        </w:rPr>
      </w:pPr>
      <w:r>
        <w:rPr>
          <w:rFonts w:ascii="Arial" w:hAnsi="Arial" w:cs="Arial"/>
          <w:color w:val="000000"/>
        </w:rPr>
        <w:t xml:space="preserve">The 1960s tower is structurally independent but physically linked to the Edwardian block through shared cores and circulation routes. It lacks the ornamental qualities, craftsmanship, or high architectural value associated with the 1905–1909 </w:t>
      </w:r>
      <w:r w:rsidR="00157396">
        <w:rPr>
          <w:rFonts w:ascii="Arial" w:hAnsi="Arial" w:cs="Arial"/>
          <w:color w:val="000000"/>
        </w:rPr>
        <w:t>building and</w:t>
      </w:r>
      <w:r>
        <w:rPr>
          <w:rFonts w:ascii="Arial" w:hAnsi="Arial" w:cs="Arial"/>
          <w:color w:val="000000"/>
        </w:rPr>
        <w:t xml:space="preserve"> therefore contributes low significance to the heritage asset.</w:t>
      </w:r>
    </w:p>
    <w:p w14:paraId="4EC331D7" w14:textId="77777777" w:rsidR="00CE4503" w:rsidRDefault="00BF210C" w:rsidP="00E80467">
      <w:pPr>
        <w:pStyle w:val="NormalWeb"/>
        <w:jc w:val="both"/>
        <w:divId w:val="1362587132"/>
        <w:rPr>
          <w:rFonts w:ascii="Arial" w:hAnsi="Arial" w:cs="Arial"/>
          <w:color w:val="000000"/>
        </w:rPr>
      </w:pPr>
      <w:r>
        <w:rPr>
          <w:rStyle w:val="Strong"/>
          <w:rFonts w:ascii="Arial" w:hAnsi="Arial" w:cs="Arial"/>
          <w:color w:val="000000"/>
        </w:rPr>
        <w:t>Impact on Heritage</w:t>
      </w:r>
    </w:p>
    <w:p w14:paraId="7D628F45" w14:textId="51769F1E" w:rsidR="00CE4503" w:rsidRPr="00CE4503" w:rsidRDefault="006540F7" w:rsidP="00E80467">
      <w:pPr>
        <w:pStyle w:val="NormalWeb"/>
        <w:jc w:val="both"/>
        <w:divId w:val="1362587132"/>
        <w:rPr>
          <w:rFonts w:ascii="Arial" w:hAnsi="Arial" w:cs="Arial"/>
          <w:color w:val="000000"/>
        </w:rPr>
      </w:pPr>
      <w:r w:rsidRPr="00CE4503">
        <w:rPr>
          <w:rFonts w:ascii="Arial" w:hAnsi="Arial" w:cs="Arial"/>
        </w:rPr>
        <w:t>The investigative works</w:t>
      </w:r>
      <w:r w:rsidR="00CE4503" w:rsidRPr="00CE4503">
        <w:rPr>
          <w:rFonts w:ascii="Arial" w:hAnsi="Arial" w:cs="Arial"/>
        </w:rPr>
        <w:t xml:space="preserve"> are carried out by using hand tools and all opening locations are recorded. </w:t>
      </w:r>
    </w:p>
    <w:p w14:paraId="2C3C798B" w14:textId="05FAB0F0" w:rsidR="00CE4503" w:rsidRPr="00CE4503" w:rsidRDefault="00CE4503" w:rsidP="00E80467">
      <w:pPr>
        <w:pStyle w:val="NormalWeb"/>
        <w:jc w:val="both"/>
        <w:divId w:val="1362587132"/>
        <w:rPr>
          <w:rFonts w:ascii="Arial" w:hAnsi="Arial" w:cs="Arial"/>
        </w:rPr>
      </w:pPr>
      <w:r>
        <w:rPr>
          <w:rFonts w:ascii="Arial" w:hAnsi="Arial" w:cs="Arial"/>
        </w:rPr>
        <w:t>T</w:t>
      </w:r>
      <w:r w:rsidRPr="00CE4503">
        <w:rPr>
          <w:rFonts w:ascii="Arial" w:hAnsi="Arial" w:cs="Arial"/>
        </w:rPr>
        <w:t xml:space="preserve">hese </w:t>
      </w:r>
      <w:r>
        <w:rPr>
          <w:rFonts w:ascii="Arial" w:hAnsi="Arial" w:cs="Arial"/>
        </w:rPr>
        <w:t xml:space="preserve">investigative works </w:t>
      </w:r>
      <w:r w:rsidRPr="00CE4503">
        <w:rPr>
          <w:rFonts w:ascii="Arial" w:hAnsi="Arial" w:cs="Arial"/>
        </w:rPr>
        <w:t xml:space="preserve">are to be confined to </w:t>
      </w:r>
      <w:r w:rsidRPr="00CE4503">
        <w:rPr>
          <w:rFonts w:ascii="Arial" w:hAnsi="Arial" w:cs="Arial"/>
        </w:rPr>
        <w:t>plasterboard linings, raised floors, MF ceilings and modern riser enclosures.</w:t>
      </w:r>
    </w:p>
    <w:p w14:paraId="637469B4" w14:textId="0D6BA969" w:rsidR="00BF210C" w:rsidRPr="00CE4503" w:rsidRDefault="00BF210C" w:rsidP="00E80467">
      <w:pPr>
        <w:pStyle w:val="NormalWeb"/>
        <w:jc w:val="both"/>
        <w:divId w:val="1362587132"/>
        <w:rPr>
          <w:rFonts w:ascii="Arial" w:hAnsi="Arial" w:cs="Arial"/>
        </w:rPr>
      </w:pPr>
      <w:r w:rsidRPr="00CE4503">
        <w:rPr>
          <w:rFonts w:ascii="Arial" w:hAnsi="Arial" w:cs="Arial"/>
        </w:rPr>
        <w:t xml:space="preserve">All opening-up works </w:t>
      </w:r>
      <w:r w:rsidR="00CE4503" w:rsidRPr="00CE4503">
        <w:rPr>
          <w:rFonts w:ascii="Arial" w:hAnsi="Arial" w:cs="Arial"/>
        </w:rPr>
        <w:t>are considered to be reversible, and a</w:t>
      </w:r>
      <w:r w:rsidRPr="00CE4503">
        <w:rPr>
          <w:rFonts w:ascii="Arial" w:hAnsi="Arial" w:cs="Arial"/>
        </w:rPr>
        <w:t xml:space="preserve">ll areas </w:t>
      </w:r>
      <w:r w:rsidR="00CE4503" w:rsidRPr="00CE4503">
        <w:rPr>
          <w:rFonts w:ascii="Arial" w:hAnsi="Arial" w:cs="Arial"/>
        </w:rPr>
        <w:t>are to be fully reinstated.</w:t>
      </w:r>
      <w:r w:rsidR="00CE4503">
        <w:rPr>
          <w:rFonts w:ascii="Arial" w:hAnsi="Arial" w:cs="Arial"/>
        </w:rPr>
        <w:t xml:space="preserve"> </w:t>
      </w:r>
    </w:p>
    <w:p w14:paraId="75137376" w14:textId="0BD04D3D" w:rsidR="00BF210C" w:rsidRDefault="00BF210C" w:rsidP="00E80467">
      <w:pPr>
        <w:pStyle w:val="NormalWeb"/>
        <w:jc w:val="both"/>
        <w:divId w:val="1362587132"/>
        <w:rPr>
          <w:rFonts w:ascii="Arial" w:hAnsi="Arial" w:cs="Arial"/>
        </w:rPr>
      </w:pPr>
      <w:r w:rsidRPr="00CE4503">
        <w:rPr>
          <w:rFonts w:ascii="Arial" w:hAnsi="Arial" w:cs="Arial"/>
        </w:rPr>
        <w:t>Overall, it is considered that no harm was caused by the carrying out of these works.</w:t>
      </w:r>
    </w:p>
    <w:p w14:paraId="12AA3300" w14:textId="67D4B316" w:rsidR="00CE4503" w:rsidRPr="00CE4503" w:rsidRDefault="00CE4503" w:rsidP="00E80467">
      <w:pPr>
        <w:pStyle w:val="NormalWeb"/>
        <w:jc w:val="both"/>
        <w:divId w:val="1362587132"/>
        <w:rPr>
          <w:rFonts w:ascii="Arial" w:hAnsi="Arial" w:cs="Arial"/>
          <w:b/>
          <w:bCs/>
        </w:rPr>
      </w:pPr>
      <w:r w:rsidRPr="00CE4503">
        <w:rPr>
          <w:rFonts w:ascii="Arial" w:hAnsi="Arial" w:cs="Arial"/>
          <w:b/>
          <w:bCs/>
        </w:rPr>
        <w:t xml:space="preserve">Heritage Assessment </w:t>
      </w:r>
    </w:p>
    <w:p w14:paraId="74FF8763" w14:textId="6B1C3F7B" w:rsidR="00CE4503" w:rsidRDefault="00CE4503" w:rsidP="00E80467">
      <w:pPr>
        <w:pStyle w:val="NormalWeb"/>
        <w:jc w:val="both"/>
        <w:divId w:val="1362587132"/>
        <w:rPr>
          <w:rFonts w:ascii="Arial" w:hAnsi="Arial" w:cs="Arial"/>
        </w:rPr>
      </w:pPr>
      <w:r>
        <w:rPr>
          <w:rFonts w:ascii="Arial" w:hAnsi="Arial" w:cs="Arial"/>
        </w:rPr>
        <w:t>As no harm was identified as a result of the proposal, the scheme is not required to be assessed against the public benefits.</w:t>
      </w:r>
    </w:p>
    <w:p w14:paraId="50BED1B2" w14:textId="3D757142" w:rsidR="00CE4503" w:rsidRDefault="00CE4503" w:rsidP="00E80467">
      <w:pPr>
        <w:pStyle w:val="NormalWeb"/>
        <w:jc w:val="both"/>
        <w:divId w:val="1362587132"/>
        <w:rPr>
          <w:rFonts w:ascii="Arial" w:hAnsi="Arial" w:cs="Arial"/>
        </w:rPr>
      </w:pPr>
      <w:r>
        <w:rPr>
          <w:rFonts w:ascii="Arial" w:hAnsi="Arial" w:cs="Arial"/>
        </w:rPr>
        <w:t>Following an Officer site visit there are still some areas that require making good. Through a condition, a method statement and sample repair are to be submitted.</w:t>
      </w:r>
    </w:p>
    <w:p w14:paraId="032D451A" w14:textId="47F20866" w:rsidR="00CE4503" w:rsidRPr="00CE4503" w:rsidRDefault="00CE4503" w:rsidP="00E80467">
      <w:pPr>
        <w:pStyle w:val="NormalWeb"/>
        <w:jc w:val="both"/>
        <w:divId w:val="1362587132"/>
        <w:rPr>
          <w:rFonts w:ascii="Arial" w:hAnsi="Arial" w:cs="Arial"/>
          <w:color w:val="FF0000"/>
        </w:rPr>
      </w:pPr>
      <w:r>
        <w:rPr>
          <w:rFonts w:ascii="Arial" w:hAnsi="Arial" w:cs="Arial"/>
          <w:color w:val="000000"/>
        </w:rPr>
        <w:t>It is considered that this application is considered acceptable and the works would not result in any harm to the heritage asset as outlined above and therefore is in accordance with Places for Everyone Plan policies JP-Strat2, JP-P1, and JP-P2, Manchester Core Strategy policies CC9, EN1, EN3, DM1 and SP1, Saved Unitary Development Plan for Manchester polices DC18 and DC19, section 16 of the NPPF, and the Planning (Listed Buildings and Conservation Areas) Act 1990.</w:t>
      </w:r>
    </w:p>
    <w:p w14:paraId="5802286A" w14:textId="77777777" w:rsidR="006F7F26" w:rsidRPr="00157396" w:rsidRDefault="006F7F26" w:rsidP="00E80467">
      <w:pPr>
        <w:pStyle w:val="Heading1"/>
        <w:jc w:val="both"/>
        <w:rPr>
          <w:rFonts w:eastAsia="Times New Roman"/>
          <w:u w:val="single"/>
        </w:rPr>
      </w:pPr>
      <w:r w:rsidRPr="00157396">
        <w:rPr>
          <w:rFonts w:eastAsia="Times New Roman"/>
          <w:u w:val="single"/>
        </w:rPr>
        <w:t>Other Legislative Requirements</w:t>
      </w:r>
    </w:p>
    <w:p w14:paraId="65D5628A" w14:textId="77777777" w:rsidR="006F7F26" w:rsidRDefault="006F7F26" w:rsidP="00E80467">
      <w:pPr>
        <w:pStyle w:val="Heading2"/>
        <w:jc w:val="both"/>
        <w:rPr>
          <w:rFonts w:eastAsia="Times New Roman"/>
        </w:rPr>
      </w:pPr>
      <w:r w:rsidRPr="006F7F26">
        <w:rPr>
          <w:rFonts w:eastAsia="Times New Roman"/>
        </w:rPr>
        <w:t>Equality Act 2010</w:t>
      </w:r>
    </w:p>
    <w:p w14:paraId="357F0746" w14:textId="77777777" w:rsidR="00157396" w:rsidRPr="00157396" w:rsidRDefault="00157396" w:rsidP="00E80467">
      <w:pPr>
        <w:jc w:val="both"/>
      </w:pPr>
    </w:p>
    <w:p w14:paraId="463247E3" w14:textId="77777777" w:rsidR="006F7F26" w:rsidRPr="006F7F26" w:rsidRDefault="006F7F26" w:rsidP="00E80467">
      <w:pPr>
        <w:jc w:val="both"/>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w:t>
      </w:r>
      <w:r w:rsidRPr="006F7F26">
        <w:rPr>
          <w:rFonts w:eastAsia="Times New Roman" w:cs="Times New Roman"/>
          <w:kern w:val="0"/>
          <w:szCs w:val="22"/>
          <w14:ligatures w14:val="none"/>
        </w:rPr>
        <w:lastRenderedPageBreak/>
        <w:t>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11FC9DB1" w14:textId="77777777" w:rsidR="006F7F26" w:rsidRPr="006F7F26" w:rsidRDefault="006F7F26" w:rsidP="00E80467">
      <w:pPr>
        <w:jc w:val="both"/>
        <w:rPr>
          <w:rFonts w:eastAsia="Times New Roman" w:cs="Times New Roman"/>
          <w:kern w:val="0"/>
          <w:szCs w:val="22"/>
          <w14:ligatures w14:val="none"/>
        </w:rPr>
      </w:pPr>
    </w:p>
    <w:p w14:paraId="233A5B0E" w14:textId="77777777" w:rsidR="006F7F26" w:rsidRDefault="006F7F26" w:rsidP="00E80467">
      <w:pPr>
        <w:pStyle w:val="Heading2"/>
        <w:jc w:val="both"/>
        <w:rPr>
          <w:rFonts w:eastAsia="Times New Roman"/>
        </w:rPr>
      </w:pPr>
      <w:r w:rsidRPr="006F7F26">
        <w:rPr>
          <w:rFonts w:eastAsia="Times New Roman"/>
        </w:rPr>
        <w:t>Human Rights Act 1998 considerations</w:t>
      </w:r>
    </w:p>
    <w:p w14:paraId="4E9B99A1" w14:textId="77777777" w:rsidR="00157396" w:rsidRPr="00157396" w:rsidRDefault="00157396" w:rsidP="00E80467">
      <w:pPr>
        <w:jc w:val="both"/>
      </w:pPr>
    </w:p>
    <w:p w14:paraId="10C3F411" w14:textId="77777777" w:rsidR="006F7F26" w:rsidRPr="006F7F26" w:rsidRDefault="006F7F26" w:rsidP="00E80467">
      <w:pPr>
        <w:jc w:val="both"/>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4876EAB2" w14:textId="77777777" w:rsidR="006F7F26" w:rsidRPr="006F7F26" w:rsidRDefault="006F7F26" w:rsidP="00E80467">
      <w:pPr>
        <w:jc w:val="both"/>
        <w:rPr>
          <w:rFonts w:eastAsia="Times New Roman" w:cs="Arial"/>
          <w:kern w:val="0"/>
          <w14:ligatures w14:val="none"/>
        </w:rPr>
      </w:pPr>
    </w:p>
    <w:p w14:paraId="15168330" w14:textId="77777777" w:rsidR="006F7F26" w:rsidRDefault="006F7F26" w:rsidP="00E80467">
      <w:pPr>
        <w:jc w:val="both"/>
      </w:pPr>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693B8FE" w14:textId="77777777" w:rsidR="00EF3E10" w:rsidRDefault="00EF3E10" w:rsidP="00E80467">
      <w:pPr>
        <w:jc w:val="both"/>
      </w:pPr>
    </w:p>
    <w:p w14:paraId="48FBC6FD" w14:textId="77777777" w:rsidR="00CE4503" w:rsidRDefault="00CE4503" w:rsidP="00E80467">
      <w:pPr>
        <w:jc w:val="both"/>
      </w:pPr>
    </w:p>
    <w:p w14:paraId="6C2CAE08" w14:textId="77777777" w:rsidR="00C62A32" w:rsidRDefault="005C02B9" w:rsidP="00E80467">
      <w:pPr>
        <w:spacing w:after="120"/>
        <w:jc w:val="both"/>
      </w:pPr>
      <w:r w:rsidRPr="005C02B9">
        <w:rPr>
          <w:rStyle w:val="Heading2Char"/>
        </w:rPr>
        <w:t>Recommendation</w:t>
      </w:r>
      <w:r>
        <w:t xml:space="preserve">: </w:t>
      </w:r>
      <w:r w:rsidRPr="005C02B9">
        <w:rPr>
          <w:b/>
          <w:bCs/>
        </w:rPr>
        <w:t>Approve</w:t>
      </w:r>
    </w:p>
    <w:p w14:paraId="39668B35" w14:textId="77777777" w:rsidR="00BA1D7F" w:rsidRPr="00157396" w:rsidRDefault="00BA1D7F" w:rsidP="00E80467">
      <w:pPr>
        <w:jc w:val="both"/>
        <w:rPr>
          <w:u w:val="single"/>
        </w:rPr>
      </w:pPr>
    </w:p>
    <w:tbl>
      <w:tblPr>
        <w:tblStyle w:val="TableGrid"/>
        <w:tblW w:w="9781" w:type="dxa"/>
        <w:tblLayout w:type="fixed"/>
        <w:tblLook w:val="04A0" w:firstRow="1" w:lastRow="0" w:firstColumn="1" w:lastColumn="0" w:noHBand="0" w:noVBand="1"/>
      </w:tblPr>
      <w:tblGrid>
        <w:gridCol w:w="9781"/>
      </w:tblGrid>
      <w:tr w:rsidR="0070357C" w:rsidRPr="00157396" w14:paraId="316AD119" w14:textId="77777777" w:rsidTr="00274422">
        <w:tc>
          <w:tcPr>
            <w:tcW w:w="9781" w:type="dxa"/>
            <w:tcBorders>
              <w:top w:val="nil"/>
              <w:left w:val="nil"/>
              <w:bottom w:val="nil"/>
              <w:right w:val="nil"/>
            </w:tcBorders>
            <w:tcMar>
              <w:left w:w="28" w:type="dxa"/>
              <w:right w:w="28" w:type="dxa"/>
            </w:tcMar>
          </w:tcPr>
          <w:p w14:paraId="2DF73F28" w14:textId="77777777" w:rsidR="0070357C" w:rsidRPr="00157396" w:rsidRDefault="0070357C" w:rsidP="00E80467">
            <w:pPr>
              <w:pStyle w:val="Heading2"/>
              <w:jc w:val="both"/>
              <w:rPr>
                <w:u w:val="single"/>
              </w:rPr>
            </w:pPr>
            <w:r w:rsidRPr="00157396">
              <w:rPr>
                <w:u w:val="single"/>
              </w:rPr>
              <w:t>Conditions attached to this decision</w:t>
            </w:r>
          </w:p>
          <w:p w14:paraId="6D4CABE1" w14:textId="77777777" w:rsidR="00BA1D7F" w:rsidRPr="00157396" w:rsidRDefault="00BA1D7F" w:rsidP="00E80467">
            <w:pPr>
              <w:jc w:val="both"/>
              <w:rPr>
                <w:u w:val="single"/>
              </w:rPr>
            </w:pPr>
          </w:p>
        </w:tc>
      </w:tr>
    </w:tbl>
    <w:p w14:paraId="5078A71A" w14:textId="49FE98FC" w:rsidR="007639F3" w:rsidRDefault="007639F3" w:rsidP="0055163E">
      <w:pPr>
        <w:jc w:val="both"/>
      </w:pPr>
    </w:p>
    <w:p w14:paraId="0C18FD34" w14:textId="247C88BC" w:rsidR="007639F3" w:rsidRDefault="007639F3" w:rsidP="002808F9">
      <w:pPr>
        <w:numPr>
          <w:ilvl w:val="1"/>
          <w:numId w:val="12"/>
        </w:numPr>
        <w:ind w:left="360"/>
        <w:jc w:val="both"/>
      </w:pPr>
      <w:r w:rsidRPr="007639F3">
        <w:t>The development hereby approved shall be carried out in accordance with the following drawings and documents received by the City Council as Local Planning Authority on 14 May 2026:</w:t>
      </w:r>
    </w:p>
    <w:p w14:paraId="35B6747B" w14:textId="77777777" w:rsidR="007639F3" w:rsidRDefault="007639F3" w:rsidP="002808F9">
      <w:pPr>
        <w:pStyle w:val="ListParagraph"/>
        <w:ind w:left="0"/>
        <w:jc w:val="both"/>
      </w:pPr>
    </w:p>
    <w:p w14:paraId="377DD9D9" w14:textId="77777777" w:rsidR="007639F3" w:rsidRDefault="007639F3" w:rsidP="002808F9">
      <w:pPr>
        <w:pStyle w:val="ListParagraph"/>
        <w:numPr>
          <w:ilvl w:val="0"/>
          <w:numId w:val="22"/>
        </w:numPr>
        <w:ind w:left="360"/>
        <w:jc w:val="both"/>
      </w:pPr>
      <w:r w:rsidRPr="007639F3">
        <w:t>Location Plan</w:t>
      </w:r>
    </w:p>
    <w:p w14:paraId="589571E3" w14:textId="77777777" w:rsidR="007639F3" w:rsidRDefault="007639F3" w:rsidP="002808F9">
      <w:pPr>
        <w:pStyle w:val="ListParagraph"/>
        <w:numPr>
          <w:ilvl w:val="0"/>
          <w:numId w:val="22"/>
        </w:numPr>
        <w:ind w:left="360"/>
        <w:jc w:val="both"/>
      </w:pPr>
      <w:r w:rsidRPr="007639F3">
        <w:t>Most egregious fire stopping failures at Century Buildings</w:t>
      </w:r>
    </w:p>
    <w:p w14:paraId="15C3D5DE" w14:textId="77777777" w:rsidR="007639F3" w:rsidRDefault="007639F3" w:rsidP="002808F9">
      <w:pPr>
        <w:pStyle w:val="ListParagraph"/>
        <w:numPr>
          <w:ilvl w:val="0"/>
          <w:numId w:val="22"/>
        </w:numPr>
        <w:ind w:left="360"/>
        <w:jc w:val="both"/>
      </w:pPr>
      <w:r w:rsidRPr="007639F3">
        <w:t>Building GA Plan Level 06 Survey Plans M254-FIL-XX-ZZ-DR-W-4006 P01</w:t>
      </w:r>
    </w:p>
    <w:p w14:paraId="65A44B5A" w14:textId="77777777" w:rsidR="007639F3" w:rsidRDefault="007639F3" w:rsidP="002808F9">
      <w:pPr>
        <w:pStyle w:val="ListParagraph"/>
        <w:numPr>
          <w:ilvl w:val="0"/>
          <w:numId w:val="22"/>
        </w:numPr>
        <w:ind w:left="360"/>
        <w:jc w:val="both"/>
      </w:pPr>
      <w:r w:rsidRPr="007639F3">
        <w:t>Building GA Plan Level 07 Flat Numbers M254-FIL-XX-ZZ-DR-W-4007 P01</w:t>
      </w:r>
    </w:p>
    <w:p w14:paraId="75C7CA14" w14:textId="406B714A" w:rsidR="007639F3" w:rsidRDefault="007639F3" w:rsidP="002808F9">
      <w:pPr>
        <w:pStyle w:val="ListParagraph"/>
        <w:numPr>
          <w:ilvl w:val="0"/>
          <w:numId w:val="22"/>
        </w:numPr>
        <w:ind w:left="360"/>
        <w:jc w:val="both"/>
      </w:pPr>
      <w:r w:rsidRPr="007639F3">
        <w:t>Listed Building Consent &amp; Baseline Heritage Assessment</w:t>
      </w:r>
    </w:p>
    <w:p w14:paraId="7DCE2119" w14:textId="77777777" w:rsidR="007639F3" w:rsidRDefault="007639F3" w:rsidP="002808F9">
      <w:pPr>
        <w:pStyle w:val="ListParagraph"/>
        <w:ind w:left="360"/>
        <w:jc w:val="both"/>
      </w:pPr>
    </w:p>
    <w:p w14:paraId="7730A105" w14:textId="0CA05449" w:rsidR="007639F3" w:rsidRPr="007639F3" w:rsidRDefault="007639F3" w:rsidP="002808F9">
      <w:pPr>
        <w:jc w:val="both"/>
      </w:pPr>
      <w:r w:rsidRPr="007639F3">
        <w:t>Reason - To ensure that the development is carried out in accordance with the approved plans. Pursuant to policies JP-P1 and JP-P2 of Places for Everyone, SP1, EN3 and DM1 of the Manchester Core Strategy and saved policies DC18.1, and DC19.1 of the Unitary Development Plan for the City of Manchester.  </w:t>
      </w:r>
    </w:p>
    <w:p w14:paraId="6B3E110B" w14:textId="77777777" w:rsidR="007639F3" w:rsidRDefault="007639F3" w:rsidP="00E80467">
      <w:pPr>
        <w:jc w:val="both"/>
      </w:pPr>
    </w:p>
    <w:p w14:paraId="59CF800E" w14:textId="68024CD6" w:rsidR="007639F3" w:rsidRDefault="002808F9" w:rsidP="00E80467">
      <w:pPr>
        <w:jc w:val="both"/>
      </w:pPr>
      <w:r>
        <w:t>2</w:t>
      </w:r>
      <w:r w:rsidR="0055163E">
        <w:t xml:space="preserve"> a) Within 2 months of the date of this planning permission, a method statement for the repairs and making good associated with the investigative works hereby approved shall be submitted to and approved in writing by the Local Planning Authority.</w:t>
      </w:r>
    </w:p>
    <w:p w14:paraId="47FAA4EB" w14:textId="77777777" w:rsidR="0055163E" w:rsidRDefault="0055163E" w:rsidP="00E80467">
      <w:pPr>
        <w:jc w:val="both"/>
      </w:pPr>
    </w:p>
    <w:p w14:paraId="31D102FE" w14:textId="45E27313" w:rsidR="002808F9" w:rsidRDefault="0055163E" w:rsidP="00E80467">
      <w:pPr>
        <w:jc w:val="both"/>
      </w:pPr>
      <w:r>
        <w:t>b)</w:t>
      </w:r>
      <w:r w:rsidR="002808F9">
        <w:t xml:space="preserve"> Within 2 months of the</w:t>
      </w:r>
      <w:r>
        <w:t xml:space="preserve"> approval of part a of this condition, a sample repair in accordance with the approved method statement shall b</w:t>
      </w:r>
      <w:r w:rsidR="002808F9">
        <w:t xml:space="preserve">e submitted to and approved in writing by the Local Planning Authority. </w:t>
      </w:r>
    </w:p>
    <w:p w14:paraId="2188C257" w14:textId="77777777" w:rsidR="002808F9" w:rsidRDefault="002808F9" w:rsidP="00E80467">
      <w:pPr>
        <w:jc w:val="both"/>
      </w:pPr>
    </w:p>
    <w:p w14:paraId="528A2A57" w14:textId="25D6A076" w:rsidR="002808F9" w:rsidRDefault="002808F9" w:rsidP="00E80467">
      <w:pPr>
        <w:jc w:val="both"/>
      </w:pPr>
      <w:r>
        <w:lastRenderedPageBreak/>
        <w:t xml:space="preserve">All repairs and making good shall then be implemented in accordance with the approved method statement and sample repair within 2 months of </w:t>
      </w:r>
      <w:r w:rsidR="00E1226C">
        <w:t xml:space="preserve">the </w:t>
      </w:r>
      <w:r>
        <w:t>discharge of this condition.</w:t>
      </w:r>
    </w:p>
    <w:p w14:paraId="48BCCAC8" w14:textId="37F197A3" w:rsidR="002808F9" w:rsidRPr="002808F9" w:rsidRDefault="002808F9" w:rsidP="002808F9">
      <w:pPr>
        <w:jc w:val="both"/>
      </w:pPr>
    </w:p>
    <w:p w14:paraId="0DBC2896" w14:textId="77777777" w:rsidR="002808F9" w:rsidRPr="002808F9" w:rsidRDefault="002808F9" w:rsidP="002808F9">
      <w:pPr>
        <w:jc w:val="both"/>
      </w:pPr>
      <w:r w:rsidRPr="002808F9">
        <w:t>Reason - In the interests of visual amenity and because the proposed works affect a building which is included in the Statutory List of Buildings of Special Architectural or Historic Interest and careful attention to building work is required to protect the character and appearance of this building and to ensure consistency in accordance with policy and EN3 of the Core Strategy and saved policy DC19.1 of the Unitary Development Plan for the City of Manchester.</w:t>
      </w:r>
    </w:p>
    <w:p w14:paraId="42E561B5" w14:textId="77777777" w:rsidR="002808F9" w:rsidRDefault="002808F9" w:rsidP="00E80467">
      <w:pPr>
        <w:jc w:val="both"/>
      </w:pPr>
    </w:p>
    <w:p w14:paraId="23FF2648" w14:textId="77777777" w:rsidR="002808F9" w:rsidRDefault="002808F9" w:rsidP="00E80467">
      <w:pPr>
        <w:jc w:val="both"/>
      </w:pPr>
    </w:p>
    <w:p w14:paraId="0229E462" w14:textId="77777777" w:rsidR="002808F9" w:rsidRDefault="002808F9" w:rsidP="00E80467">
      <w:pPr>
        <w:jc w:val="both"/>
      </w:pPr>
    </w:p>
    <w:p w14:paraId="43F7A7D6" w14:textId="77777777" w:rsidR="0055163E" w:rsidRDefault="0055163E" w:rsidP="00E80467">
      <w:pPr>
        <w:jc w:val="both"/>
      </w:pPr>
    </w:p>
    <w:p w14:paraId="033ED2EE" w14:textId="77777777" w:rsidR="00AC0908" w:rsidRDefault="00AC0908" w:rsidP="00E80467">
      <w:pPr>
        <w:jc w:val="both"/>
      </w:pPr>
    </w:p>
    <w:p w14:paraId="42E975C5" w14:textId="3DE4A41C" w:rsidR="005C02B9" w:rsidRDefault="005C02B9" w:rsidP="00E80467">
      <w:pPr>
        <w:pStyle w:val="ListParagraph"/>
        <w:ind w:left="1440"/>
        <w:jc w:val="both"/>
      </w:pPr>
    </w:p>
    <w:p w14:paraId="596582DD" w14:textId="77777777" w:rsidR="00E14D08" w:rsidRDefault="00E14D08" w:rsidP="00E80467">
      <w:pPr>
        <w:pStyle w:val="ListParagraph"/>
        <w:ind w:left="1440"/>
        <w:jc w:val="both"/>
      </w:pPr>
    </w:p>
    <w:p w14:paraId="6EB4969C" w14:textId="77777777" w:rsidR="00E14D08" w:rsidRPr="00A331F9" w:rsidRDefault="00E14D08" w:rsidP="00E80467">
      <w:pPr>
        <w:pStyle w:val="ListParagraph"/>
        <w:ind w:left="1440"/>
        <w:jc w:val="both"/>
      </w:pPr>
    </w:p>
    <w:sectPr w:rsidR="00E14D08"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5A74"/>
    <w:multiLevelType w:val="multilevel"/>
    <w:tmpl w:val="A41C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65518B"/>
    <w:multiLevelType w:val="multilevel"/>
    <w:tmpl w:val="2C12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7D65E54"/>
    <w:multiLevelType w:val="hybridMultilevel"/>
    <w:tmpl w:val="1AEE6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2F771D"/>
    <w:multiLevelType w:val="multilevel"/>
    <w:tmpl w:val="B3A4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5F108E"/>
    <w:multiLevelType w:val="multilevel"/>
    <w:tmpl w:val="1848DF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711D23"/>
    <w:multiLevelType w:val="multilevel"/>
    <w:tmpl w:val="1F205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595FA0"/>
    <w:multiLevelType w:val="multilevel"/>
    <w:tmpl w:val="9D48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0654A95"/>
    <w:multiLevelType w:val="multilevel"/>
    <w:tmpl w:val="D230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894EDB"/>
    <w:multiLevelType w:val="multilevel"/>
    <w:tmpl w:val="D65C3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3E69DF"/>
    <w:multiLevelType w:val="multilevel"/>
    <w:tmpl w:val="BBB6C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2468D4"/>
    <w:multiLevelType w:val="multilevel"/>
    <w:tmpl w:val="B6FA38B6"/>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AA6FEB"/>
    <w:multiLevelType w:val="multilevel"/>
    <w:tmpl w:val="D2185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F5580D"/>
    <w:multiLevelType w:val="multilevel"/>
    <w:tmpl w:val="7E166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B55CFF"/>
    <w:multiLevelType w:val="multilevel"/>
    <w:tmpl w:val="F69C6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656B2C"/>
    <w:multiLevelType w:val="multilevel"/>
    <w:tmpl w:val="7C540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9B1387"/>
    <w:multiLevelType w:val="multilevel"/>
    <w:tmpl w:val="CED0A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6D64236"/>
    <w:multiLevelType w:val="multilevel"/>
    <w:tmpl w:val="907EC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645676">
    <w:abstractNumId w:val="5"/>
  </w:num>
  <w:num w:numId="2" w16cid:durableId="155417475">
    <w:abstractNumId w:val="2"/>
  </w:num>
  <w:num w:numId="3" w16cid:durableId="1743523982">
    <w:abstractNumId w:val="7"/>
  </w:num>
  <w:num w:numId="4" w16cid:durableId="479078163">
    <w:abstractNumId w:val="4"/>
  </w:num>
  <w:num w:numId="5" w16cid:durableId="257520763">
    <w:abstractNumId w:val="20"/>
  </w:num>
  <w:num w:numId="6" w16cid:durableId="189607985">
    <w:abstractNumId w:val="15"/>
  </w:num>
  <w:num w:numId="7" w16cid:durableId="1730498584">
    <w:abstractNumId w:val="1"/>
  </w:num>
  <w:num w:numId="8" w16cid:durableId="1345206859">
    <w:abstractNumId w:val="12"/>
  </w:num>
  <w:num w:numId="9" w16cid:durableId="1746681454">
    <w:abstractNumId w:val="0"/>
  </w:num>
  <w:num w:numId="10" w16cid:durableId="891844832">
    <w:abstractNumId w:val="10"/>
  </w:num>
  <w:num w:numId="11" w16cid:durableId="1858502029">
    <w:abstractNumId w:val="17"/>
  </w:num>
  <w:num w:numId="12" w16cid:durableId="563368897">
    <w:abstractNumId w:val="8"/>
  </w:num>
  <w:num w:numId="13" w16cid:durableId="1072122083">
    <w:abstractNumId w:val="16"/>
  </w:num>
  <w:num w:numId="14" w16cid:durableId="925261308">
    <w:abstractNumId w:val="21"/>
  </w:num>
  <w:num w:numId="15" w16cid:durableId="137379489">
    <w:abstractNumId w:val="11"/>
  </w:num>
  <w:num w:numId="16" w16cid:durableId="1416629260">
    <w:abstractNumId w:val="14"/>
  </w:num>
  <w:num w:numId="17" w16cid:durableId="581257262">
    <w:abstractNumId w:val="13"/>
  </w:num>
  <w:num w:numId="18" w16cid:durableId="85998358">
    <w:abstractNumId w:val="9"/>
  </w:num>
  <w:num w:numId="19" w16cid:durableId="171065553">
    <w:abstractNumId w:val="18"/>
  </w:num>
  <w:num w:numId="20" w16cid:durableId="1688173134">
    <w:abstractNumId w:val="6"/>
  </w:num>
  <w:num w:numId="21" w16cid:durableId="88739483">
    <w:abstractNumId w:val="19"/>
  </w:num>
  <w:num w:numId="22" w16cid:durableId="14433045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57396"/>
    <w:rsid w:val="00172707"/>
    <w:rsid w:val="00181787"/>
    <w:rsid w:val="001F3C56"/>
    <w:rsid w:val="00264A72"/>
    <w:rsid w:val="00271DE1"/>
    <w:rsid w:val="00274422"/>
    <w:rsid w:val="002808F9"/>
    <w:rsid w:val="0032349F"/>
    <w:rsid w:val="00367BC7"/>
    <w:rsid w:val="003E4005"/>
    <w:rsid w:val="004036C8"/>
    <w:rsid w:val="00467C0E"/>
    <w:rsid w:val="0055163E"/>
    <w:rsid w:val="005C02B9"/>
    <w:rsid w:val="0060008F"/>
    <w:rsid w:val="006175C6"/>
    <w:rsid w:val="006540F7"/>
    <w:rsid w:val="00654330"/>
    <w:rsid w:val="006954E2"/>
    <w:rsid w:val="006B1081"/>
    <w:rsid w:val="006B3B30"/>
    <w:rsid w:val="006E0A90"/>
    <w:rsid w:val="006E46D3"/>
    <w:rsid w:val="006F7F26"/>
    <w:rsid w:val="0070357C"/>
    <w:rsid w:val="00741A7E"/>
    <w:rsid w:val="007524AB"/>
    <w:rsid w:val="007639F3"/>
    <w:rsid w:val="007901E8"/>
    <w:rsid w:val="00803386"/>
    <w:rsid w:val="008057CA"/>
    <w:rsid w:val="00871882"/>
    <w:rsid w:val="00982188"/>
    <w:rsid w:val="00A04F27"/>
    <w:rsid w:val="00A331F9"/>
    <w:rsid w:val="00A40D82"/>
    <w:rsid w:val="00AC0908"/>
    <w:rsid w:val="00AD3AB2"/>
    <w:rsid w:val="00AD61E8"/>
    <w:rsid w:val="00B17001"/>
    <w:rsid w:val="00B75EB9"/>
    <w:rsid w:val="00BA1D7F"/>
    <w:rsid w:val="00BD216A"/>
    <w:rsid w:val="00BE7747"/>
    <w:rsid w:val="00BF210C"/>
    <w:rsid w:val="00C573B6"/>
    <w:rsid w:val="00C62A32"/>
    <w:rsid w:val="00CE4503"/>
    <w:rsid w:val="00CF74CA"/>
    <w:rsid w:val="00D22A2B"/>
    <w:rsid w:val="00D3474F"/>
    <w:rsid w:val="00D66B55"/>
    <w:rsid w:val="00D73A5C"/>
    <w:rsid w:val="00DF12FE"/>
    <w:rsid w:val="00E0137E"/>
    <w:rsid w:val="00E06B5E"/>
    <w:rsid w:val="00E1226C"/>
    <w:rsid w:val="00E14D08"/>
    <w:rsid w:val="00E1769F"/>
    <w:rsid w:val="00E402BE"/>
    <w:rsid w:val="00E80467"/>
    <w:rsid w:val="00EE0337"/>
    <w:rsid w:val="00EF3E10"/>
    <w:rsid w:val="00F10C6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AD6B7"/>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cs="Times New Roman"/>
      <w:kern w:val="0"/>
      <w:lang w:eastAsia="en-GB"/>
      <w14:ligatures w14:val="non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172878">
      <w:bodyDiv w:val="1"/>
      <w:marLeft w:val="0"/>
      <w:marRight w:val="0"/>
      <w:marTop w:val="0"/>
      <w:marBottom w:val="0"/>
      <w:divBdr>
        <w:top w:val="none" w:sz="0" w:space="0" w:color="auto"/>
        <w:left w:val="none" w:sz="0" w:space="0" w:color="auto"/>
        <w:bottom w:val="none" w:sz="0" w:space="0" w:color="auto"/>
        <w:right w:val="none" w:sz="0" w:space="0" w:color="auto"/>
      </w:divBdr>
    </w:div>
    <w:div w:id="298340768">
      <w:bodyDiv w:val="1"/>
      <w:marLeft w:val="0"/>
      <w:marRight w:val="0"/>
      <w:marTop w:val="0"/>
      <w:marBottom w:val="0"/>
      <w:divBdr>
        <w:top w:val="none" w:sz="0" w:space="0" w:color="auto"/>
        <w:left w:val="none" w:sz="0" w:space="0" w:color="auto"/>
        <w:bottom w:val="none" w:sz="0" w:space="0" w:color="auto"/>
        <w:right w:val="none" w:sz="0" w:space="0" w:color="auto"/>
      </w:divBdr>
    </w:div>
    <w:div w:id="908611500">
      <w:bodyDiv w:val="1"/>
      <w:marLeft w:val="0"/>
      <w:marRight w:val="0"/>
      <w:marTop w:val="0"/>
      <w:marBottom w:val="0"/>
      <w:divBdr>
        <w:top w:val="none" w:sz="0" w:space="0" w:color="auto"/>
        <w:left w:val="none" w:sz="0" w:space="0" w:color="auto"/>
        <w:bottom w:val="none" w:sz="0" w:space="0" w:color="auto"/>
        <w:right w:val="none" w:sz="0" w:space="0" w:color="auto"/>
      </w:divBdr>
    </w:div>
    <w:div w:id="1028985974">
      <w:bodyDiv w:val="1"/>
      <w:marLeft w:val="0"/>
      <w:marRight w:val="0"/>
      <w:marTop w:val="0"/>
      <w:marBottom w:val="0"/>
      <w:divBdr>
        <w:top w:val="none" w:sz="0" w:space="0" w:color="auto"/>
        <w:left w:val="none" w:sz="0" w:space="0" w:color="auto"/>
        <w:bottom w:val="none" w:sz="0" w:space="0" w:color="auto"/>
        <w:right w:val="none" w:sz="0" w:space="0" w:color="auto"/>
      </w:divBdr>
    </w:div>
    <w:div w:id="1362587132">
      <w:bodyDiv w:val="1"/>
      <w:marLeft w:val="0"/>
      <w:marRight w:val="0"/>
      <w:marTop w:val="0"/>
      <w:marBottom w:val="0"/>
      <w:divBdr>
        <w:top w:val="none" w:sz="0" w:space="0" w:color="auto"/>
        <w:left w:val="none" w:sz="0" w:space="0" w:color="auto"/>
        <w:bottom w:val="none" w:sz="0" w:space="0" w:color="auto"/>
        <w:right w:val="none" w:sz="0" w:space="0" w:color="auto"/>
      </w:divBdr>
    </w:div>
    <w:div w:id="1533880946">
      <w:bodyDiv w:val="1"/>
      <w:marLeft w:val="0"/>
      <w:marRight w:val="0"/>
      <w:marTop w:val="0"/>
      <w:marBottom w:val="0"/>
      <w:divBdr>
        <w:top w:val="none" w:sz="0" w:space="0" w:color="auto"/>
        <w:left w:val="none" w:sz="0" w:space="0" w:color="auto"/>
        <w:bottom w:val="none" w:sz="0" w:space="0" w:color="auto"/>
        <w:right w:val="none" w:sz="0" w:space="0" w:color="auto"/>
      </w:divBdr>
    </w:div>
    <w:div w:id="165957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7CE793-459D-4CC1-A648-B1DA9A1C2726}">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236</TotalTime>
  <Pages>6</Pages>
  <Words>1881</Words>
  <Characters>10727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salesforceId:aab82373-e110-45fc-93f6-4e1a14bcb570</dc:subject>
  <dc:creator>Anthony Moore</dc:creator>
  <cp:keywords/>
  <dc:description/>
  <cp:lastModifiedBy>James Bridgman</cp:lastModifiedBy>
  <cp:revision>13</cp:revision>
  <dcterms:created xsi:type="dcterms:W3CDTF">2026-06-23T07:57:00Z</dcterms:created>
  <dcterms:modified xsi:type="dcterms:W3CDTF">2026-07-09T10:17:00Z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069Sl00000YDxQ7IAL</vt:lpwstr>
  </property>
</Properties>
</file>