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B0D77" w14:textId="77777777" w:rsidR="00077E87" w:rsidRPr="00362FBF" w:rsidRDefault="00362FBF">
      <w:pPr>
        <w:rPr>
          <w:b/>
          <w:sz w:val="36"/>
          <w:szCs w:val="36"/>
        </w:rPr>
      </w:pPr>
      <w:r w:rsidRPr="00362FBF">
        <w:rPr>
          <w:b/>
          <w:sz w:val="36"/>
          <w:szCs w:val="36"/>
          <w:highlight w:val="green"/>
        </w:rPr>
        <w:t>BGS  Geo Reports of a site adjacent to 55 SLACK ROAD</w:t>
      </w:r>
      <w:r w:rsidRPr="00362FBF">
        <w:rPr>
          <w:b/>
          <w:sz w:val="36"/>
          <w:szCs w:val="36"/>
        </w:rPr>
        <w:t xml:space="preserve"> </w:t>
      </w:r>
    </w:p>
    <w:p w14:paraId="4C905A95" w14:textId="77777777" w:rsidR="00065420" w:rsidRPr="00065420" w:rsidRDefault="00065420" w:rsidP="0006542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52DB8">
        <w:rPr>
          <w:rFonts w:ascii="Calibri" w:eastAsia="Times New Roman" w:hAnsi="Calibri" w:cs="Calibri"/>
          <w:b/>
          <w:sz w:val="40"/>
          <w:szCs w:val="40"/>
          <w:lang w:eastAsia="en-GB"/>
        </w:rPr>
        <w:t>Overview:</w:t>
      </w: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 xml:space="preserve"> This document provide</w:t>
      </w:r>
      <w:r w:rsidR="00552DB8">
        <w:rPr>
          <w:rFonts w:ascii="Calibri" w:eastAsia="Times New Roman" w:hAnsi="Calibri" w:cs="Calibri"/>
          <w:sz w:val="24"/>
          <w:szCs w:val="24"/>
          <w:lang w:eastAsia="en-GB"/>
        </w:rPr>
        <w:t xml:space="preserve">s a comprehensive assessment of </w:t>
      </w: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 xml:space="preserve">subsurface suitability for </w:t>
      </w:r>
      <w:r w:rsidRPr="00BE2C6D">
        <w:rPr>
          <w:rFonts w:ascii="Calibri" w:eastAsia="Times New Roman" w:hAnsi="Calibri" w:cs="Calibri"/>
          <w:sz w:val="24"/>
          <w:szCs w:val="24"/>
          <w:lang w:eastAsia="en-GB"/>
        </w:rPr>
        <w:t>infiltration sustainable drainage systems (SuDS). ​</w:t>
      </w:r>
    </w:p>
    <w:p w14:paraId="58EFE37D" w14:textId="77777777" w:rsidR="00065420" w:rsidRPr="00065420" w:rsidRDefault="00065420" w:rsidP="0006542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Introduction</w:t>
      </w:r>
    </w:p>
    <w:p w14:paraId="05F718B1" w14:textId="77777777" w:rsidR="00065420" w:rsidRPr="00065420" w:rsidRDefault="00065420" w:rsidP="000654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Sustainable drainage systems (SuDS) manage surface water volume and quality. ​</w:t>
      </w:r>
    </w:p>
    <w:p w14:paraId="737AEF73" w14:textId="77777777" w:rsidR="00065420" w:rsidRPr="00065420" w:rsidRDefault="00065420" w:rsidP="000654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Four main types of SuDS: source control, pre-treatment, retention, and infiltration systems. ​</w:t>
      </w:r>
    </w:p>
    <w:p w14:paraId="4E4114F9" w14:textId="77777777" w:rsidR="00065420" w:rsidRPr="00065420" w:rsidRDefault="00065420" w:rsidP="000654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Focuses on infiltration SuDS and their suitability based on subsurface conditions. ​</w:t>
      </w:r>
    </w:p>
    <w:p w14:paraId="31CE7A96" w14:textId="77777777" w:rsidR="00065420" w:rsidRPr="00065420" w:rsidRDefault="00065420" w:rsidP="0006542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Part 1: Summary Data ​</w:t>
      </w:r>
    </w:p>
    <w:p w14:paraId="59419612" w14:textId="77777777" w:rsidR="00065420" w:rsidRPr="00065420" w:rsidRDefault="00065420" w:rsidP="00065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Assessment of drainage potential for infiltration SuDS categorized as highly compatible, probably compatible, bespoke opportunities, or significant constraints. ​</w:t>
      </w:r>
    </w:p>
    <w:p w14:paraId="4427189D" w14:textId="77777777" w:rsidR="00065420" w:rsidRPr="00065420" w:rsidRDefault="00065420" w:rsidP="00065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Ground instability likelihood categorized from very unlikely to very significant potential for geo</w:t>
      </w:r>
      <w:r>
        <w:rPr>
          <w:rFonts w:ascii="Calibri" w:eastAsia="Times New Roman" w:hAnsi="Calibri" w:cs="Calibri"/>
          <w:sz w:val="24"/>
          <w:szCs w:val="24"/>
          <w:lang w:eastAsia="en-GB"/>
        </w:rPr>
        <w:t>-</w:t>
      </w: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hazards. ​</w:t>
      </w:r>
    </w:p>
    <w:p w14:paraId="2AE82457" w14:textId="77777777" w:rsidR="00065420" w:rsidRPr="00065420" w:rsidRDefault="00065420" w:rsidP="00065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Groundwater quality susceptibility assessed from not vulnerable to made ground presence increasing contamination risk. ​</w:t>
      </w:r>
    </w:p>
    <w:p w14:paraId="26C6E743" w14:textId="77777777" w:rsidR="00065420" w:rsidRPr="00065420" w:rsidRDefault="00065420" w:rsidP="0006542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Part 2: Detailed Data ​</w:t>
      </w:r>
    </w:p>
    <w:p w14:paraId="37A2BE05" w14:textId="77777777" w:rsidR="00065420" w:rsidRPr="00065420" w:rsidRDefault="00065420" w:rsidP="00065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Identifies very significant constraints such as soluble rocks, landslides, shallow mining, persistent shallow groundwater, and made ground. ​</w:t>
      </w:r>
    </w:p>
    <w:p w14:paraId="7960A6FF" w14:textId="77777777" w:rsidR="00065420" w:rsidRPr="00065420" w:rsidRDefault="00065420" w:rsidP="00065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Drainage potential assessed through depth to water table, permeability of superficial deposits, and presence of floodplain deposits. ​</w:t>
      </w:r>
    </w:p>
    <w:p w14:paraId="0BF37508" w14:textId="77777777" w:rsidR="00065420" w:rsidRPr="00065420" w:rsidRDefault="00065420" w:rsidP="00065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Ground stability hazards include soluble rocks, landslides, shallow mining, running sands, swelling clays, compressible ground, and collapsible ground. ​</w:t>
      </w:r>
    </w:p>
    <w:p w14:paraId="15DD7911" w14:textId="77777777" w:rsidR="00065420" w:rsidRPr="00065420" w:rsidRDefault="00065420" w:rsidP="0006542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Groundwater Quality Protection ​</w:t>
      </w:r>
    </w:p>
    <w:p w14:paraId="6C7A4DC0" w14:textId="77777777" w:rsidR="00065420" w:rsidRPr="00065420" w:rsidRDefault="00065420" w:rsidP="00065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Groundwater source protection zones defined by the Environment Agency to prevent pollution. ​</w:t>
      </w:r>
    </w:p>
    <w:p w14:paraId="2B05B104" w14:textId="77777777" w:rsidR="00065420" w:rsidRPr="00065420" w:rsidRDefault="00065420" w:rsidP="00065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Predominant flow mechanisms assessed for their potential to remove contaminants.</w:t>
      </w:r>
    </w:p>
    <w:p w14:paraId="1464C072" w14:textId="77777777" w:rsidR="00065420" w:rsidRPr="00065420" w:rsidRDefault="00065420" w:rsidP="00065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Presence of made ground increases the risk of remobilizing pollutants during infiltration. ​</w:t>
      </w:r>
    </w:p>
    <w:p w14:paraId="78378EA8" w14:textId="77777777" w:rsidR="00065420" w:rsidRPr="00065420" w:rsidRDefault="00065420" w:rsidP="0006542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Geological Maps</w:t>
      </w:r>
    </w:p>
    <w:p w14:paraId="0668BA8C" w14:textId="77777777" w:rsidR="00065420" w:rsidRPr="00065420" w:rsidRDefault="00065420" w:rsidP="00065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Maps show artificial superficial bedrock geology and key geological features. ​</w:t>
      </w:r>
    </w:p>
    <w:p w14:paraId="7AC9358B" w14:textId="77777777" w:rsidR="00065420" w:rsidRPr="00065420" w:rsidRDefault="00065420" w:rsidP="00065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Includes details on artificial deposits, superficial deposits, and bedrock types. ​</w:t>
      </w:r>
    </w:p>
    <w:p w14:paraId="1418078A" w14:textId="77777777" w:rsidR="00C87458" w:rsidRDefault="00C87458">
      <w:pPr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br w:type="page"/>
      </w:r>
    </w:p>
    <w:p w14:paraId="78E5FE23" w14:textId="77777777" w:rsidR="00065420" w:rsidRPr="00065420" w:rsidRDefault="00065420" w:rsidP="0006542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Limitations of the Report</w:t>
      </w:r>
    </w:p>
    <w:p w14:paraId="2A539015" w14:textId="77777777" w:rsidR="00065420" w:rsidRPr="00065420" w:rsidRDefault="00065420" w:rsidP="000654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Report focuses on subsurface conditions and does not substitute for on-site investigations. ​</w:t>
      </w:r>
    </w:p>
    <w:p w14:paraId="62CB49C6" w14:textId="77777777" w:rsidR="00065420" w:rsidRPr="00065420" w:rsidRDefault="00065420" w:rsidP="000654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Does not consider previous land use, potential contamination, or proximity to landfill sites.</w:t>
      </w:r>
    </w:p>
    <w:p w14:paraId="2BDA0A19" w14:textId="77777777" w:rsidR="00065420" w:rsidRPr="00065420" w:rsidRDefault="00065420" w:rsidP="000654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Emphasizes the need for professional advice before making decisions based on the report. ​</w:t>
      </w:r>
    </w:p>
    <w:p w14:paraId="66C21A66" w14:textId="77777777" w:rsidR="00065420" w:rsidRPr="00065420" w:rsidRDefault="00065420" w:rsidP="0006542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Explanation of Terms ​</w:t>
      </w:r>
    </w:p>
    <w:p w14:paraId="3F7BB989" w14:textId="77777777" w:rsidR="00065420" w:rsidRPr="00065420" w:rsidRDefault="00065420" w:rsidP="00065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Defines key terms such as depth to groundwater, unsaturated zone, groundwater flooding, and geological indicators of flooding. ​</w:t>
      </w:r>
    </w:p>
    <w:p w14:paraId="088987A0" w14:textId="77777777" w:rsidR="000933A1" w:rsidRDefault="00065420" w:rsidP="00065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065420">
        <w:rPr>
          <w:rFonts w:ascii="Calibri" w:eastAsia="Times New Roman" w:hAnsi="Calibri" w:cs="Calibri"/>
          <w:sz w:val="24"/>
          <w:szCs w:val="24"/>
          <w:lang w:eastAsia="en-GB"/>
        </w:rPr>
        <w:t>Discusses natural ground instability and various geological hazards that may affect the suitability of infiltration systems. ​</w:t>
      </w:r>
    </w:p>
    <w:p w14:paraId="1F24CA36" w14:textId="77777777" w:rsidR="000933A1" w:rsidRDefault="000933A1">
      <w:pPr>
        <w:rPr>
          <w:rFonts w:ascii="Calibri" w:eastAsia="Times New Roman" w:hAnsi="Calibri" w:cs="Calibri"/>
          <w:sz w:val="24"/>
          <w:szCs w:val="24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br w:type="page"/>
      </w:r>
    </w:p>
    <w:p w14:paraId="616E3F39" w14:textId="77777777" w:rsidR="000933A1" w:rsidRDefault="000933A1">
      <w:r w:rsidRPr="000933A1">
        <w:rPr>
          <w:noProof/>
        </w:rPr>
        <w:drawing>
          <wp:inline distT="0" distB="0" distL="0" distR="0" wp14:anchorId="7D977229" wp14:editId="3EAA33B1">
            <wp:extent cx="5620534" cy="5687219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0534" cy="568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C6418" w14:textId="77777777" w:rsidR="000933A1" w:rsidRDefault="000933A1">
      <w:r>
        <w:br w:type="page"/>
      </w:r>
    </w:p>
    <w:p w14:paraId="0818C643" w14:textId="77777777" w:rsidR="00065420" w:rsidRDefault="00AA4296">
      <w:r w:rsidRPr="00AA4296">
        <w:rPr>
          <w:noProof/>
        </w:rPr>
        <w:drawing>
          <wp:inline distT="0" distB="0" distL="0" distR="0" wp14:anchorId="213B6EBA" wp14:editId="00139135">
            <wp:extent cx="4696480" cy="609685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AAE24" w14:textId="77777777" w:rsidR="000933A1" w:rsidRDefault="000933A1">
      <w:r w:rsidRPr="000933A1">
        <w:rPr>
          <w:noProof/>
        </w:rPr>
        <w:drawing>
          <wp:inline distT="0" distB="0" distL="0" distR="0" wp14:anchorId="17A3BF75" wp14:editId="7FF4B89A">
            <wp:extent cx="1476581" cy="1657581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4296" w:rsidRPr="00AA4296">
        <w:rPr>
          <w:noProof/>
        </w:rPr>
        <w:drawing>
          <wp:inline distT="0" distB="0" distL="0" distR="0" wp14:anchorId="7B041D5B" wp14:editId="67E71781">
            <wp:extent cx="3048425" cy="59063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425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75E97" w14:textId="77777777" w:rsidR="00AA4296" w:rsidRDefault="00AA4296">
      <w:r w:rsidRPr="00AA4296">
        <w:rPr>
          <w:noProof/>
        </w:rPr>
        <w:drawing>
          <wp:inline distT="0" distB="0" distL="0" distR="0" wp14:anchorId="72763737" wp14:editId="435820B1">
            <wp:extent cx="4648849" cy="295316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49395" w14:textId="77777777" w:rsidR="00AA4296" w:rsidRDefault="00AA4296">
      <w:r w:rsidRPr="00AA4296">
        <w:rPr>
          <w:noProof/>
        </w:rPr>
        <w:drawing>
          <wp:inline distT="0" distB="0" distL="0" distR="0" wp14:anchorId="1B583C6C" wp14:editId="214C10B1">
            <wp:extent cx="1448002" cy="1609950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296">
        <w:rPr>
          <w:noProof/>
        </w:rPr>
        <w:drawing>
          <wp:inline distT="0" distB="0" distL="0" distR="0" wp14:anchorId="1FDBE4BA" wp14:editId="79525E18">
            <wp:extent cx="3019846" cy="552527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19846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E94F8" w14:textId="77777777" w:rsidR="00DB42B4" w:rsidRDefault="00DB42B4">
      <w:r w:rsidRPr="00DB42B4">
        <w:rPr>
          <w:noProof/>
        </w:rPr>
        <w:drawing>
          <wp:inline distT="0" distB="0" distL="0" distR="0" wp14:anchorId="3A162CB3" wp14:editId="29F2DF19">
            <wp:extent cx="4639322" cy="276264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39322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5BFC4" w14:textId="77777777" w:rsidR="00DB42B4" w:rsidRDefault="00DB42B4">
      <w:r w:rsidRPr="00DB42B4">
        <w:rPr>
          <w:noProof/>
        </w:rPr>
        <w:drawing>
          <wp:inline distT="0" distB="0" distL="0" distR="0" wp14:anchorId="60096D88" wp14:editId="64BBE57A">
            <wp:extent cx="1428949" cy="163852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28949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42B4">
        <w:rPr>
          <w:noProof/>
        </w:rPr>
        <w:drawing>
          <wp:inline distT="0" distB="0" distL="0" distR="0" wp14:anchorId="3A6D63E3" wp14:editId="119DDD8D">
            <wp:extent cx="3096057" cy="40010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A9B98" w14:textId="77777777" w:rsidR="00C87458" w:rsidRDefault="00C87458">
      <w:r>
        <w:br w:type="page"/>
      </w:r>
    </w:p>
    <w:p w14:paraId="2B7FE472" w14:textId="77777777" w:rsidR="00DB42B4" w:rsidRDefault="00DB42B4"/>
    <w:p w14:paraId="646BB52A" w14:textId="77777777" w:rsidR="00AA4296" w:rsidRDefault="00AA4296"/>
    <w:sectPr w:rsidR="00AA42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2E3C"/>
    <w:multiLevelType w:val="multilevel"/>
    <w:tmpl w:val="F6D0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F1685"/>
    <w:multiLevelType w:val="multilevel"/>
    <w:tmpl w:val="2E18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B7A30"/>
    <w:multiLevelType w:val="multilevel"/>
    <w:tmpl w:val="B4EE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7368CD"/>
    <w:multiLevelType w:val="multilevel"/>
    <w:tmpl w:val="B264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A037A5"/>
    <w:multiLevelType w:val="multilevel"/>
    <w:tmpl w:val="0782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37049D"/>
    <w:multiLevelType w:val="multilevel"/>
    <w:tmpl w:val="4CA8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D3309D"/>
    <w:multiLevelType w:val="multilevel"/>
    <w:tmpl w:val="8458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21050">
    <w:abstractNumId w:val="2"/>
  </w:num>
  <w:num w:numId="2" w16cid:durableId="385104267">
    <w:abstractNumId w:val="6"/>
  </w:num>
  <w:num w:numId="3" w16cid:durableId="300769839">
    <w:abstractNumId w:val="5"/>
  </w:num>
  <w:num w:numId="4" w16cid:durableId="1819806237">
    <w:abstractNumId w:val="4"/>
  </w:num>
  <w:num w:numId="5" w16cid:durableId="1144080289">
    <w:abstractNumId w:val="1"/>
  </w:num>
  <w:num w:numId="6" w16cid:durableId="284896348">
    <w:abstractNumId w:val="0"/>
  </w:num>
  <w:num w:numId="7" w16cid:durableId="2299261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5420"/>
    <w:rsid w:val="00065420"/>
    <w:rsid w:val="00070732"/>
    <w:rsid w:val="0007512D"/>
    <w:rsid w:val="00077E87"/>
    <w:rsid w:val="000933A1"/>
    <w:rsid w:val="00362FBF"/>
    <w:rsid w:val="00552DB8"/>
    <w:rsid w:val="007F4361"/>
    <w:rsid w:val="00812635"/>
    <w:rsid w:val="00AA4296"/>
    <w:rsid w:val="00BE2C6D"/>
    <w:rsid w:val="00C87458"/>
    <w:rsid w:val="00D71015"/>
    <w:rsid w:val="00DB42B4"/>
    <w:rsid w:val="00DE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54332"/>
  <w15:docId w15:val="{5B6AF4E5-A2B3-0E41-AF83-7FD8AB651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654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60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37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13" Type="http://schemas.openxmlformats.org/officeDocument/2006/relationships/image" Target="media/image9.png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12" Type="http://schemas.openxmlformats.org/officeDocument/2006/relationships/image" Target="media/image8.png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image" Target="media/image7.png" /><Relationship Id="rId5" Type="http://schemas.openxmlformats.org/officeDocument/2006/relationships/image" Target="media/image1.png" /><Relationship Id="rId15" Type="http://schemas.openxmlformats.org/officeDocument/2006/relationships/fontTable" Target="fontTable.xml" /><Relationship Id="rId10" Type="http://schemas.openxmlformats.org/officeDocument/2006/relationships/image" Target="media/image6.png" /><Relationship Id="rId4" Type="http://schemas.openxmlformats.org/officeDocument/2006/relationships/webSettings" Target="webSettings.xml" /><Relationship Id="rId9" Type="http://schemas.openxmlformats.org/officeDocument/2006/relationships/image" Target="media/image5.png" /><Relationship Id="rId14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hassa_w813ydh</dc:creator>
  <cp:lastModifiedBy>Nurul Haque</cp:lastModifiedBy>
  <cp:revision>2</cp:revision>
  <dcterms:created xsi:type="dcterms:W3CDTF">2026-06-11T10:50:00Z</dcterms:created>
  <dcterms:modified xsi:type="dcterms:W3CDTF">2026-06-11T10:50:00Z</dcterms:modified>
</cp:coreProperties>
</file>