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sz w:val="36"/>
          <w:szCs w:val="36"/>
        </w:rPr>
        <w:t xml:space="preserve">PLANNING STATEMENT</w:t>
      </w:r>
    </w:p>
    <w:p>
      <w:pPr>
        <w:spacing w:after="80"/>
        <w:jc w:val="center"/>
      </w:pPr>
      <w:r>
        <w:rPr>
          <w:i/>
          <w:iCs/>
          <w:sz w:val="22"/>
          <w:szCs w:val="22"/>
        </w:rPr>
        <w:t xml:space="preserve">In support of an application for a Certificate of Lawful Use or Development (Proposed)</w:t>
      </w:r>
    </w:p>
    <w:p>
      <w:pPr>
        <w:spacing w:after="80"/>
        <w:jc w:val="center"/>
      </w:pPr>
      <w:r>
        <w:rPr>
          <w:sz w:val="22"/>
          <w:szCs w:val="22"/>
        </w:rPr>
        <w:t xml:space="preserve">Town and Country Planning Act 1990, Section 192</w:t>
      </w:r>
    </w:p>
    <w:p>
      <w:pPr>
        <w:pBdr>
          <w:bottom w:val="single" w:color="000000" w:sz="6" w:space="4"/>
        </w:pBdr>
        <w:spacing w:after="360"/>
        <w:jc w:val="center"/>
      </w:pPr>
      <w:r>
        <w:t xml:space="preserve"/>
      </w:r>
    </w:p>
    <w:p>
      <w:pPr>
        <w:spacing w:after="160" w:line="300"/>
        <w:jc w:val="both"/>
      </w:pPr>
      <w:r>
        <w:rPr>
          <w:b/>
          <w:bCs/>
        </w:rPr>
        <w:t xml:space="preserve">Site:  </w:t>
      </w:r>
      <w:r>
        <w:t xml:space="preserve">4 Westminster Avenue, Manchester, M16 0AN</w:t>
      </w:r>
    </w:p>
    <w:p>
      <w:pPr>
        <w:spacing w:after="160" w:line="300"/>
        <w:jc w:val="both"/>
      </w:pPr>
      <w:r>
        <w:rPr>
          <w:b/>
          <w:bCs/>
        </w:rPr>
        <w:t xml:space="preserve">Applicant:  </w:t>
      </w:r>
      <w:r>
        <w:t xml:space="preserve">Keystone Children’s Group Ltd</w:t>
      </w:r>
    </w:p>
    <w:p>
      <w:pPr>
        <w:spacing w:after="160" w:line="300"/>
        <w:jc w:val="both"/>
      </w:pPr>
      <w:r>
        <w:rPr>
          <w:b/>
          <w:bCs/>
        </w:rPr>
        <w:t xml:space="preserve">Proposed use:  </w:t>
      </w:r>
      <w:r>
        <w:t xml:space="preserve">Use of dwellinghouse as a small children’s home for up to two children aged 7–18 years</w:t>
      </w:r>
    </w:p>
    <w:p>
      <w:pPr>
        <w:spacing w:after="160" w:line="300"/>
        <w:jc w:val="both"/>
      </w:pPr>
      <w:r>
        <w:rPr>
          <w:b/>
          <w:bCs/>
        </w:rPr>
        <w:t xml:space="preserve">Previous reference:  </w:t>
      </w:r>
      <w:r>
        <w:t xml:space="preserve">145072/LP/2026 (refused 8 April 2026)</w:t>
      </w:r>
    </w:p>
    <w:p>
      <w:pPr>
        <w:spacing w:after="160" w:line="300"/>
        <w:jc w:val="both"/>
      </w:pPr>
      <w:r>
        <w:t xml:space="preserve"> </w:t>
      </w:r>
    </w:p>
    <w:p>
      <w:pPr>
        <w:pStyle w:val="Heading1"/>
      </w:pPr>
      <w:r>
        <w:t xml:space="preserve">1. Introduction</w:t>
      </w:r>
    </w:p>
    <w:p>
      <w:pPr>
        <w:spacing w:after="160" w:line="300"/>
        <w:jc w:val="both"/>
      </w:pPr>
      <w:r>
        <w:t xml:space="preserve">1.1  This Planning Statement accompanies a renewed application made under section 192 of the Town and Country Planning Act 1990 (as amended) for a Certificate of Lawful Use or Development (Proposed) at 4 Westminster Avenue, Manchester, M16 0AN.</w:t>
      </w:r>
    </w:p>
    <w:p>
      <w:pPr>
        <w:spacing w:after="160" w:line="300"/>
        <w:jc w:val="both"/>
      </w:pPr>
      <w:r>
        <w:t xml:space="preserve">1.2  An earlier application (reference 145072/LP/2026) was refused by Manchester City Council on 8 April 2026. The sole reason given was that the applicant had not, on the previous evidence, demonstrated with sufficient and precise evidence that the proposal does not amount to a material change of use. The Council did not conclude that the proposal was unlawful on its facts; it concluded that the supporting evidence lacked the precision needed for a determination on the balance of probabilities.</w:t>
      </w:r>
    </w:p>
    <w:p>
      <w:pPr>
        <w:spacing w:after="160" w:line="300"/>
        <w:jc w:val="both"/>
      </w:pPr>
      <w:r>
        <w:t xml:space="preserve">1.3  In the delegated officer report dated 2 April 2026, the Case Officer expressly stated:</w:t>
      </w:r>
    </w:p>
    <w:p>
      <w:pPr>
        <w:spacing w:after="160" w:line="300"/>
        <w:ind w:left="720" w:right="720"/>
        <w:jc w:val="both"/>
      </w:pPr>
      <w:r>
        <w:rPr>
          <w:i/>
          <w:iCs/>
        </w:rPr>
        <w:t xml:space="preserve">“This does not preclude another application being submitted later, if more information can be produced.”</w:t>
      </w:r>
    </w:p>
    <w:p>
      <w:pPr>
        <w:spacing w:after="160" w:line="300"/>
        <w:jc w:val="both"/>
      </w:pPr>
      <w:r>
        <w:t xml:space="preserve">1.4  This Statement responds to that invitation. It sets out the proposed use with the precision identified as missing from the earlier submission, addresses each specific evidential concern raised by the Case Officer, and applies the relevant legal authorities and ministerial policy to the facts now described.</w:t>
      </w:r>
    </w:p>
    <w:p>
      <w:pPr>
        <w:spacing w:after="160" w:line="300"/>
        <w:jc w:val="both"/>
      </w:pPr>
      <w:r>
        <w:t xml:space="preserve">1.5  This Statement should be read together with the application form, location plan, existing and proposed floor plans, and existing elevations, all of which are submitted with this application. No external alterations are proposed and the proposed floor plan differs from the existing only in the labelling of one first-floor bedroom as a staff room. There are no other internal or external changes.</w:t>
      </w:r>
    </w:p>
    <w:p>
      <w:pPr>
        <w:pStyle w:val="Heading1"/>
      </w:pPr>
      <w:r>
        <w:t xml:space="preserve">2. The Site</w:t>
      </w:r>
    </w:p>
    <w:p>
      <w:pPr>
        <w:spacing w:after="160" w:line="300"/>
        <w:jc w:val="both"/>
      </w:pPr>
      <w:r>
        <w:t xml:space="preserve">2.1  The application property is a two-storey mid-terraced dwellinghouse in Whalley Range, Manchester. It comprises, at ground floor, a living room, dining room, kitchen, store and washroom; and at first floor, three bedrooms and a bathroom. There is a small front garden and a small rear yard accessed from the back alley. The property has no off-street parking.</w:t>
      </w:r>
    </w:p>
    <w:p>
      <w:pPr>
        <w:spacing w:after="160" w:line="300"/>
        <w:jc w:val="both"/>
      </w:pPr>
      <w:r>
        <w:t xml:space="preserve">2.2  Westminster Avenue is a residential cul-de-sac. The surrounding area is wholly residential in character. The property is not listed, is not within a conservation area, and is not subject to a tree preservation order.</w:t>
      </w:r>
    </w:p>
    <w:p>
      <w:pPr>
        <w:spacing w:after="160" w:line="300"/>
        <w:jc w:val="both"/>
      </w:pPr>
      <w:r>
        <w:t xml:space="preserve">2.3  The site is well served by public transport. Trafford Bar Metrolink is within walking distance, and frequent bus services run on the nearby Manley Road and Withington Road corridors. Local shops, schools and services are within walking and cycling distance.</w:t>
      </w:r>
    </w:p>
    <w:p>
      <w:pPr>
        <w:spacing w:after="60" w:before="200"/>
        <w:jc w:val="center"/>
      </w:pPr>
      <w:r>
        <w:drawing>
          <wp:inline distT="0" distB="0" distL="0" distR="0">
            <wp:extent cx="22860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0" cy="3286125"/>
                    </a:xfrm>
                    <a:prstGeom prst="rect">
                      <a:avLst/>
                    </a:prstGeom>
                  </pic:spPr>
                </pic:pic>
              </a:graphicData>
            </a:graphic>
          </wp:inline>
        </w:drawing>
      </w:r>
    </w:p>
    <w:p>
      <w:pPr>
        <w:spacing w:after="240"/>
        <w:jc w:val="center"/>
      </w:pPr>
      <w:r>
        <w:rPr>
          <w:i/>
          <w:iCs/>
          <w:color w:val="595959"/>
          <w:sz w:val="20"/>
          <w:szCs w:val="20"/>
        </w:rPr>
        <w:t xml:space="preserve">4 Westminster Avenue – the application property</w:t>
      </w:r>
    </w:p>
    <w:p>
      <w:pPr>
        <w:pStyle w:val="Heading1"/>
      </w:pPr>
      <w:r>
        <w:t xml:space="preserve">3. The Proposed Use – Precise Operational Detail</w:t>
      </w:r>
    </w:p>
    <w:p>
      <w:pPr>
        <w:spacing w:after="160" w:line="300"/>
        <w:jc w:val="both"/>
      </w:pPr>
      <w:r>
        <w:t xml:space="preserve">3.1  The Council’s previous refusal turned on the absence of precise operational detail. This section provides that detail in full.</w:t>
      </w:r>
    </w:p>
    <w:p>
      <w:pPr>
        <w:pStyle w:val="Heading2"/>
      </w:pPr>
      <w:r>
        <w:t xml:space="preserve">Children placed at the home</w:t>
      </w:r>
    </w:p>
    <w:p>
      <w:pPr>
        <w:spacing w:after="160" w:line="300"/>
        <w:jc w:val="both"/>
      </w:pPr>
      <w:r>
        <w:t xml:space="preserve">3.2  The home will accommodate a maximum of two children at any one time, aged between 7 and 18 years. Each child will have their own single-occupancy bedroom. Living, dining, kitchen and bathroom facilities will be shared between the children and the on-site carers, in the same manner as any household.</w:t>
      </w:r>
    </w:p>
    <w:p>
      <w:pPr>
        <w:spacing w:after="160" w:line="300"/>
        <w:jc w:val="both"/>
      </w:pPr>
      <w:r>
        <w:t xml:space="preserve">3.3  The children placed at the home will have emotional, behavioural and attachment-related needs arising from trauma, neglect or family breakdown. Children placed will be those who are broadly able to function within a normal domestic setting with adult support. The home will not provide medical care or treatment, and will not accept placements where the child requires specialist medical or nursing care that could not be met by ordinary household routines and standard community health services.</w:t>
      </w:r>
    </w:p>
    <w:p>
      <w:pPr>
        <w:spacing w:after="160" w:line="300"/>
        <w:jc w:val="both"/>
      </w:pPr>
      <w:r>
        <w:t xml:space="preserve">3.4  All children placed at the home are expected to attend mainstream school during the school day in term time. Daytime activity at the property during term-time school hours will therefore be no different from that of any family household whose children attend school.</w:t>
      </w:r>
    </w:p>
    <w:p>
      <w:pPr>
        <w:pStyle w:val="Heading2"/>
      </w:pPr>
      <w:r>
        <w:t xml:space="preserve">Length of placement</w:t>
      </w:r>
    </w:p>
    <w:p>
      <w:pPr>
        <w:spacing w:after="160" w:line="300"/>
        <w:jc w:val="both"/>
      </w:pPr>
      <w:r>
        <w:t xml:space="preserve">3.5  Length of stay is determined by the placing local authority and by each child’s care plan. Once children settle they typically remain for the longer term, and the home is intended to provide that stability. The minimum expected length of stay is six months and most placements are expected to last considerably longer. The character of occupation is settled and long-term rather than transient, and is therefore directly comparable to occupation of a family dwelling.</w:t>
      </w:r>
    </w:p>
    <w:p>
      <w:pPr>
        <w:pStyle w:val="Heading2"/>
      </w:pPr>
      <w:r>
        <w:t xml:space="preserve">Staffing and rota</w:t>
      </w:r>
    </w:p>
    <w:p>
      <w:pPr>
        <w:spacing w:after="160" w:line="300"/>
        <w:jc w:val="both"/>
      </w:pPr>
      <w:r>
        <w:t xml:space="preserve">3.6  Care will be provided on a 24-hour rota, with a sleep-in arrangement overnight in the dedicated staff room shown on the proposed first-floor plan. The exact number of carers present at any given time is needs-led and will mirror the dynamic of an ordinary family household, where one or two adults may be present at any given time depending on circumstances. The number of staff present at the property at any time will not exceed two carers, plus (on weekdays during office hours) the Home Manager.</w:t>
      </w:r>
    </w:p>
    <w:p>
      <w:pPr>
        <w:spacing w:after="160" w:line="300"/>
        <w:jc w:val="both"/>
      </w:pPr>
      <w:r>
        <w:t xml:space="preserve">3.7  Shift changeover takes place once per day at 10:00 to 10:30, with a 30-minute handover overlap. This timing is deliberately set outside the morning school-run period and outside the late-afternoon and evening period when on-street parking demand on Westminster Avenue is at its greatest.</w:t>
      </w:r>
    </w:p>
    <w:p>
      <w:pPr>
        <w:spacing w:after="160" w:line="300"/>
        <w:jc w:val="both"/>
      </w:pPr>
      <w:r>
        <w:t xml:space="preserve">3.8  The Home Manager will visit the property between 09:00 and 17:00, Monday to Friday only, for management oversight. The Home Manager will not attend evenings, nights or weekends.</w:t>
      </w:r>
    </w:p>
    <w:p>
      <w:pPr>
        <w:spacing w:after="160" w:line="300"/>
        <w:jc w:val="both"/>
      </w:pPr>
      <w:r>
        <w:t xml:space="preserve">3.9  The precise pattern of staffing on shift at any given moment is, in any event, an operational and regulatory matter for Ofsted regulation rather than a planning one. The relevant question for planning purposes is whether the character of use of the property would materially change. The numbers involved – a maximum of two carers and the Home Manager during weekday office hours – remain consistent with the occupancy of an ordinary domestic household and below the typical occupancy of a three-bedroom terraced house in this area.</w:t>
      </w:r>
    </w:p>
    <w:p>
      <w:pPr>
        <w:pStyle w:val="Heading2"/>
      </w:pPr>
      <w:r>
        <w:t xml:space="preserve">Travel and parking</w:t>
      </w:r>
    </w:p>
    <w:p>
      <w:pPr>
        <w:spacing w:after="160" w:line="300"/>
        <w:jc w:val="both"/>
      </w:pPr>
      <w:r>
        <w:t xml:space="preserve">3.10  Staff will be encouraged to travel to and from the property by public transport or on foot wherever possible. The property’s strong public transport accessibility (Trafford Bar Metrolink and frequent local bus services) makes this a practical default.</w:t>
      </w:r>
    </w:p>
    <w:p>
      <w:pPr>
        <w:spacing w:after="160" w:line="300"/>
        <w:jc w:val="both"/>
      </w:pPr>
      <w:r>
        <w:t xml:space="preserve">3.11  With only two children in placement and a maximum of two carers on shift, total vehicle movements associated with the use will be no greater than, and are likely to be less than, those associated with an ordinary family dwelling on the street. The single daily staff changeover at 10:00 to 10:30 is timed deliberately to avoid both the school-run period and the evening peak when on-street parking demand on Westminster Avenue is at its greatest. The proposed use will therefore not add to peak-time parking pressure on the street.</w:t>
      </w:r>
    </w:p>
    <w:p>
      <w:pPr>
        <w:pStyle w:val="Heading2"/>
      </w:pPr>
      <w:r>
        <w:t xml:space="preserve">Visitors</w:t>
      </w:r>
    </w:p>
    <w:p>
      <w:pPr>
        <w:spacing w:after="160" w:line="300"/>
        <w:jc w:val="both"/>
      </w:pPr>
      <w:r>
        <w:t xml:space="preserve">3.12  Visitor activity at the property will be low and predictable, comparable to people coming to visit relatives in an ordinary family home. The expected average is one to two visitors per month, with all visits pre-arranged and typically taking place during normal working hours. Visitors will comprise:</w:t>
      </w:r>
    </w:p>
    <w:p>
      <w:pPr>
        <w:pStyle w:val="ListParagraph"/>
        <w:numPr>
          <w:ilvl w:val="0"/>
          <w:numId w:val="2"/>
        </w:numPr>
        <w:spacing w:after="100" w:line="300"/>
        <w:jc w:val="both"/>
      </w:pPr>
      <w:r>
        <w:t xml:space="preserve">Statutory professionals connected to the children’s care, including the children’s allocated social workers and the Independent Reviewing Officer.</w:t>
      </w:r>
    </w:p>
    <w:p>
      <w:pPr>
        <w:pStyle w:val="ListParagraph"/>
        <w:numPr>
          <w:ilvl w:val="0"/>
          <w:numId w:val="2"/>
        </w:numPr>
        <w:spacing w:after="100" w:line="300"/>
        <w:jc w:val="both"/>
      </w:pPr>
      <w:r>
        <w:t xml:space="preserve">Family contact visits, where authorised by the placing local authority and where these are in the child’s welfare interests.</w:t>
      </w:r>
    </w:p>
    <w:p>
      <w:pPr>
        <w:pStyle w:val="ListParagraph"/>
        <w:numPr>
          <w:ilvl w:val="0"/>
          <w:numId w:val="2"/>
        </w:numPr>
        <w:spacing w:after="100" w:line="300"/>
        <w:jc w:val="both"/>
      </w:pPr>
      <w:r>
        <w:t xml:space="preserve">Occasional health professional visits where these cannot be conducted off-site. The expectation is that routine health appointments will take place at the relevant clinic or surgery.</w:t>
      </w:r>
    </w:p>
    <w:p>
      <w:pPr>
        <w:pStyle w:val="ListParagraph"/>
        <w:numPr>
          <w:ilvl w:val="0"/>
          <w:numId w:val="2"/>
        </w:numPr>
        <w:spacing w:after="100" w:line="300"/>
        <w:jc w:val="both"/>
      </w:pPr>
      <w:r>
        <w:t xml:space="preserve">Periodic Ofsted inspections, typically once a year, involving a single inspector.</w:t>
      </w:r>
    </w:p>
    <w:p>
      <w:pPr>
        <w:spacing w:after="160" w:line="300"/>
        <w:jc w:val="both"/>
      </w:pPr>
      <w:r>
        <w:t xml:space="preserve">3.13  No other categories of visitor are proposed. There will be no commercial visitors, no group visits, and no use of the property for meetings, training or assessments. This visitor frequency is comparable to or lower than that of a typical family household with school-age children.</w:t>
      </w:r>
    </w:p>
    <w:p>
      <w:pPr>
        <w:pStyle w:val="Heading2"/>
      </w:pPr>
      <w:r>
        <w:t xml:space="preserve">Regulatory framework</w:t>
      </w:r>
    </w:p>
    <w:p>
      <w:pPr>
        <w:spacing w:after="160" w:line="300"/>
        <w:jc w:val="both"/>
      </w:pPr>
      <w:r>
        <w:t xml:space="preserve">3.14  The home will be registered with Ofsted as a small children’s home and will operate in accordance with the Children’s Homes (England) Regulations 2015 and the associated Quality Standards. The Quality Standards expressly require that children’s homes are operated as closely as possible to a typical family household, providing a substitute family environment.</w:t>
      </w:r>
    </w:p>
    <w:p>
      <w:pPr>
        <w:pStyle w:val="Heading1"/>
      </w:pPr>
      <w:r>
        <w:t xml:space="preserve">4. Legal Framework</w:t>
      </w:r>
    </w:p>
    <w:p>
      <w:pPr>
        <w:spacing w:after="160" w:line="300"/>
        <w:jc w:val="both"/>
      </w:pPr>
      <w:r>
        <w:t xml:space="preserve">4.1  Section 192(2) of the Town and Country Planning Act 1990 provides that, where the local planning authority is provided with information satisfying it that a proposed use would be lawful if instituted at the time of the application, it shall issue a certificate to that effect. The standard of proof is the balance of probabilities. The applicant’s evidence does not need to be corroborated by independent evidence; if the local planning authority has no evidence to contradict the applicant’s account or to make it less than probable, there is no good reason to refuse the certificate (Planning Practice Guidance, Reference ID: 17c).</w:t>
      </w:r>
    </w:p>
    <w:p>
      <w:pPr>
        <w:spacing w:after="160" w:line="300"/>
        <w:jc w:val="both"/>
      </w:pPr>
      <w:r>
        <w:t xml:space="preserve">4.2  The relevant Use Class definitions are:</w:t>
      </w:r>
    </w:p>
    <w:p>
      <w:pPr>
        <w:pStyle w:val="ListParagraph"/>
        <w:numPr>
          <w:ilvl w:val="0"/>
          <w:numId w:val="2"/>
        </w:numPr>
        <w:spacing w:after="100" w:line="300"/>
        <w:jc w:val="both"/>
      </w:pPr>
      <w:r>
        <w:t xml:space="preserve">Class C3(b): use as a dwellinghouse by not more than six residents living together as a single household, including households where care is provided for residents.</w:t>
      </w:r>
    </w:p>
    <w:p>
      <w:pPr>
        <w:pStyle w:val="ListParagraph"/>
        <w:numPr>
          <w:ilvl w:val="0"/>
          <w:numId w:val="2"/>
        </w:numPr>
        <w:spacing w:after="100" w:line="300"/>
        <w:jc w:val="both"/>
      </w:pPr>
      <w:r>
        <w:t xml:space="preserve">Class C2: residential institutions – use for the provision of residential accommodation and care to people in need of care (other than within Class C3), including homes that provide care for children.</w:t>
      </w:r>
    </w:p>
    <w:p>
      <w:pPr>
        <w:spacing w:after="160" w:line="300"/>
        <w:jc w:val="both"/>
      </w:pPr>
      <w:r>
        <w:t xml:space="preserve">4.3  The question for the local planning authority is whether the proposed use, on the precise facts now described, would, as a matter of fact and degree, amount to a material change of use from the existing C3 dwellinghouse use. The labelling of the use as C2 or C3(b) is not, by itself, determinative; the controlling question is whether the character of the use of the land would materially change.</w:t>
      </w:r>
    </w:p>
    <w:p>
      <w:pPr>
        <w:pStyle w:val="Heading1"/>
      </w:pPr>
      <w:r>
        <w:t xml:space="preserve">5. Application of the Authorities and Ministerial Policy</w:t>
      </w:r>
    </w:p>
    <w:p>
      <w:pPr>
        <w:pStyle w:val="Heading2"/>
      </w:pPr>
      <w:r>
        <w:t xml:space="preserve">North Devon District Council v First Secretary of State [2003]</w:t>
      </w:r>
    </w:p>
    <w:p>
      <w:pPr>
        <w:spacing w:after="160" w:line="300"/>
        <w:jc w:val="both"/>
      </w:pPr>
      <w:r>
        <w:t xml:space="preserve">5.1  This case is directly on point. It concerned a dwellinghouse used to provide residential care for two children, with care provided by carers who did not live at the premises. The High Court ruled that, on the special facts of that case, the use of the premises for up to two children with care provided by non-resident staff did not amount to a material change of use from the C3 classification. The character of the use of the property was held to be no different in any definable way from the existing residential use.</w:t>
      </w:r>
    </w:p>
    <w:p>
      <w:pPr>
        <w:spacing w:after="160" w:line="300"/>
        <w:jc w:val="both"/>
      </w:pPr>
      <w:r>
        <w:t xml:space="preserve">5.2  The factual parallel with the present application is exact:</w:t>
      </w:r>
    </w:p>
    <w:p>
      <w:pPr>
        <w:pStyle w:val="ListParagraph"/>
        <w:numPr>
          <w:ilvl w:val="0"/>
          <w:numId w:val="2"/>
        </w:numPr>
        <w:spacing w:after="100" w:line="300"/>
        <w:jc w:val="both"/>
      </w:pPr>
      <w:r>
        <w:t xml:space="preserve">The number of children is the same: up to two.</w:t>
      </w:r>
    </w:p>
    <w:p>
      <w:pPr>
        <w:pStyle w:val="ListParagraph"/>
        <w:numPr>
          <w:ilvl w:val="0"/>
          <w:numId w:val="2"/>
        </w:numPr>
        <w:spacing w:after="100" w:line="300"/>
        <w:jc w:val="both"/>
      </w:pPr>
      <w:r>
        <w:t xml:space="preserve">The accommodation is a dwellinghouse used as a dwellinghouse, with no external alterations.</w:t>
      </w:r>
    </w:p>
    <w:p>
      <w:pPr>
        <w:pStyle w:val="ListParagraph"/>
        <w:numPr>
          <w:ilvl w:val="0"/>
          <w:numId w:val="2"/>
        </w:numPr>
        <w:spacing w:after="100" w:line="300"/>
        <w:jc w:val="both"/>
      </w:pPr>
      <w:r>
        <w:t xml:space="preserve">Care is provided by non-resident staff on a rota basis.</w:t>
      </w:r>
    </w:p>
    <w:p>
      <w:pPr>
        <w:pStyle w:val="ListParagraph"/>
        <w:numPr>
          <w:ilvl w:val="0"/>
          <w:numId w:val="2"/>
        </w:numPr>
        <w:spacing w:after="100" w:line="300"/>
        <w:jc w:val="both"/>
      </w:pPr>
      <w:r>
        <w:t xml:space="preserve">The children attend mainstream school during the day.</w:t>
      </w:r>
    </w:p>
    <w:p>
      <w:pPr>
        <w:spacing w:after="160" w:line="300"/>
        <w:jc w:val="both"/>
      </w:pPr>
      <w:r>
        <w:t xml:space="preserve">5.3  Applying North Devon to the present facts, the proposed use would not result in a material change of use of the property. The Case Officer’s previous report acknowledged that this case is the controlling authority and that lawful development certificates have been granted on the basis of its principle.</w:t>
      </w:r>
    </w:p>
    <w:p>
      <w:pPr>
        <w:pStyle w:val="Heading2"/>
      </w:pPr>
      <w:r>
        <w:t xml:space="preserve">Leicestershire children’s home appeal (Ref. APP/K2420/X/11/2155849)</w:t>
      </w:r>
    </w:p>
    <w:p>
      <w:pPr>
        <w:spacing w:after="160" w:line="300"/>
        <w:jc w:val="both"/>
      </w:pPr>
      <w:r>
        <w:t xml:space="preserve">5.4  In this appeal an Inspector granted a lawful development certificate for the use of a house in Leicestershire as a children’s care home for up to three children aged 9 to 17 with learning disabilities, with care provided by non-resident staff working in shifts. The local planning authority had refused the certificate on the basis of staff numbers. The Inspector held that staff numbers were not materially different from what might be expected of a family house, and concluded that the proposed use, although a C2 use, would not amount to a material change of use from C3.</w:t>
      </w:r>
    </w:p>
    <w:p>
      <w:pPr>
        <w:spacing w:after="160" w:line="300"/>
        <w:jc w:val="both"/>
      </w:pPr>
      <w:r>
        <w:t xml:space="preserve">5.5  The present application involves fewer children (two rather than three) and a comparable staffing model. The Leicestershire decision is therefore a fortiori authority for the grant of the certificate sought.</w:t>
      </w:r>
    </w:p>
    <w:p>
      <w:pPr>
        <w:pStyle w:val="Heading2"/>
      </w:pPr>
      <w:r>
        <w:t xml:space="preserve">316 Westrow Drive, Barking (Appeal Decision)</w:t>
      </w:r>
    </w:p>
    <w:p>
      <w:pPr>
        <w:spacing w:after="160" w:line="300"/>
        <w:jc w:val="both"/>
      </w:pPr>
      <w:r>
        <w:t xml:space="preserve">5.6  The Westrow Drive appeal reinforces the same principle. There the Inspector considered whether the property was being used as a single household receiving care, properly within Class C3(b), or as a residential institution within Class C2. The Inspector concluded that the property was being used as a single household where care was provided, fitting within Class C3(b), and quashed the enforcement notice. The analytical approach is the same as in North Devon: examine the actual character of the use, not the technical staffing model, and ask whether the use is in substance that of a household.</w:t>
      </w:r>
    </w:p>
    <w:p>
      <w:pPr>
        <w:pStyle w:val="Heading2"/>
      </w:pPr>
      <w:r>
        <w:t xml:space="preserve">2023 Ministerial Statement on planning for accommodation for looked-after children</w:t>
      </w:r>
    </w:p>
    <w:p>
      <w:pPr>
        <w:spacing w:after="160" w:line="300"/>
        <w:jc w:val="both"/>
      </w:pPr>
      <w:r>
        <w:t xml:space="preserve">5.7  In 2023 the then Minister of State for Housing and Planning made a written statement, jointly supported by the Secretary of State for Education, on planning for accommodation for looked-after children. The statement provides:</w:t>
      </w:r>
    </w:p>
    <w:p>
      <w:pPr>
        <w:spacing w:after="160" w:line="300"/>
        <w:ind w:left="720" w:right="720"/>
        <w:jc w:val="both"/>
      </w:pPr>
      <w:r>
        <w:rPr>
          <w:i/>
          <w:iCs/>
        </w:rPr>
        <w:t xml:space="preserve">“The planning system should not be a barrier to providing homes for the most vulnerable children in society. … Local planning authorities should give due weight to and be supportive of applications, where appropriate, for all types of accommodation for looked after children in their area that reflect local needs and all parties in the development process should work together closely to facilitate the timely delivery of such vital accommodation for children across the country. … Planning permission will not be required in all cases of development of children’s homes, including for changes of use from dwelling houses in Class C3 of the Use Classes Order 1987 where the children’s home remains within Class C3 or there is no material change of use to Class C2. An application to the local planning authority can be made for a lawful development certificate to confirm whether, on the facts of the case, the specific use is or would be lawful.”</w:t>
      </w:r>
    </w:p>
    <w:p>
      <w:pPr>
        <w:spacing w:after="160" w:line="300"/>
        <w:jc w:val="both"/>
      </w:pPr>
      <w:r>
        <w:t xml:space="preserve">5.8  The Ministerial Statement is a material consideration. It expressly endorses the use of the section 192 lawful development certificate route for proposals of this kind and directs local planning authorities to be supportive of such applications where appropriate.</w:t>
      </w:r>
    </w:p>
    <w:p>
      <w:pPr>
        <w:pStyle w:val="Heading2"/>
      </w:pPr>
      <w:r>
        <w:t xml:space="preserve">Comparison of character of use</w:t>
      </w:r>
    </w:p>
    <w:p>
      <w:pPr>
        <w:spacing w:after="160" w:line="300"/>
        <w:jc w:val="both"/>
      </w:pPr>
      <w:r>
        <w:t xml:space="preserve">5.9  Drawing the threads together, the character of the proposed use can be compared with that of the existing C3 dwellinghouse use as follows:</w:t>
      </w:r>
    </w:p>
    <w:p>
      <w:pPr>
        <w:pStyle w:val="ListParagraph"/>
        <w:numPr>
          <w:ilvl w:val="0"/>
          <w:numId w:val="2"/>
        </w:numPr>
        <w:spacing w:after="100" w:line="300"/>
        <w:jc w:val="both"/>
      </w:pPr>
      <w:r>
        <w:t xml:space="preserve">Number of overnight occupants: up to two children plus, on the sleep-in rota, on-shift carers. Total occupancy is well within typical occupancy of a three-bedroom terraced house in this area, and lower than many family households.</w:t>
      </w:r>
    </w:p>
    <w:p>
      <w:pPr>
        <w:pStyle w:val="ListParagraph"/>
        <w:numPr>
          <w:ilvl w:val="0"/>
          <w:numId w:val="2"/>
        </w:numPr>
        <w:spacing w:after="100" w:line="300"/>
        <w:jc w:val="both"/>
      </w:pPr>
      <w:r>
        <w:t xml:space="preserve">Daily comings and goings: a single staff changeover at 10:00 to 10:30, deliberately set outside school-run and evening peak periods; the Home Manager arrives and departs on weekdays only. This is comparable to or less intensive than the comings and goings of a typical working family.</w:t>
      </w:r>
    </w:p>
    <w:p>
      <w:pPr>
        <w:pStyle w:val="ListParagraph"/>
        <w:numPr>
          <w:ilvl w:val="0"/>
          <w:numId w:val="2"/>
        </w:numPr>
        <w:spacing w:after="100" w:line="300"/>
        <w:jc w:val="both"/>
      </w:pPr>
      <w:r>
        <w:t xml:space="preserve">Vehicle movements: no greater than those of an ordinary family dwelling, with the changeover timed to avoid peak parking pressure on the street.</w:t>
      </w:r>
    </w:p>
    <w:p>
      <w:pPr>
        <w:pStyle w:val="ListParagraph"/>
        <w:numPr>
          <w:ilvl w:val="0"/>
          <w:numId w:val="2"/>
        </w:numPr>
        <w:spacing w:after="100" w:line="300"/>
        <w:jc w:val="both"/>
      </w:pPr>
      <w:r>
        <w:t xml:space="preserve">Daytime occupancy in term time: low, as the children attend school. The same as any household with school-age children.</w:t>
      </w:r>
    </w:p>
    <w:p>
      <w:pPr>
        <w:pStyle w:val="ListParagraph"/>
        <w:numPr>
          <w:ilvl w:val="0"/>
          <w:numId w:val="2"/>
        </w:numPr>
        <w:spacing w:after="100" w:line="300"/>
        <w:jc w:val="both"/>
      </w:pPr>
      <w:r>
        <w:t xml:space="preserve">Visitor frequency: low and predictable (one to two visits per month on average). Comparable to or lower than a typical family household.</w:t>
      </w:r>
    </w:p>
    <w:p>
      <w:pPr>
        <w:pStyle w:val="ListParagraph"/>
        <w:numPr>
          <w:ilvl w:val="0"/>
          <w:numId w:val="2"/>
        </w:numPr>
        <w:spacing w:after="100" w:line="300"/>
        <w:jc w:val="both"/>
      </w:pPr>
      <w:r>
        <w:t xml:space="preserve">External appearance: unchanged. No external alterations are proposed.</w:t>
      </w:r>
    </w:p>
    <w:p>
      <w:pPr>
        <w:pStyle w:val="ListParagraph"/>
        <w:numPr>
          <w:ilvl w:val="0"/>
          <w:numId w:val="2"/>
        </w:numPr>
        <w:spacing w:after="100" w:line="300"/>
        <w:jc w:val="both"/>
      </w:pPr>
      <w:r>
        <w:t xml:space="preserve">Internal layout: unchanged save for the labelling of one first-floor bedroom as a staff room. The physical configuration of the dwelling is unaltered.</w:t>
      </w:r>
    </w:p>
    <w:p>
      <w:pPr>
        <w:pStyle w:val="ListParagraph"/>
        <w:numPr>
          <w:ilvl w:val="0"/>
          <w:numId w:val="2"/>
        </w:numPr>
        <w:spacing w:after="100" w:line="300"/>
        <w:jc w:val="both"/>
      </w:pPr>
      <w:r>
        <w:t xml:space="preserve">Length of occupation: settled and long-term, directly comparable to the occupation of a family dwelling.</w:t>
      </w:r>
    </w:p>
    <w:p>
      <w:pPr>
        <w:pStyle w:val="ListParagraph"/>
        <w:numPr>
          <w:ilvl w:val="0"/>
          <w:numId w:val="2"/>
        </w:numPr>
        <w:spacing w:after="100" w:line="300"/>
        <w:jc w:val="both"/>
      </w:pPr>
      <w:r>
        <w:t xml:space="preserve">Noise and disturbance: no greater than that of a typical residential household.</w:t>
      </w:r>
    </w:p>
    <w:p>
      <w:pPr>
        <w:spacing w:after="160" w:line="300"/>
        <w:jc w:val="both"/>
      </w:pPr>
      <w:r>
        <w:t xml:space="preserve">5.10  On each measurable dimension of the character of use, the proposed use is either equivalent to, or less intensive than, the existing C3 use of the property. There is no respect in which the character of the use would materially change.</w:t>
      </w:r>
    </w:p>
    <w:p>
      <w:pPr>
        <w:pStyle w:val="Heading1"/>
      </w:pPr>
      <w:r>
        <w:t xml:space="preserve">6. Response to the Previous Officer’s Concerns</w:t>
      </w:r>
    </w:p>
    <w:p>
      <w:pPr>
        <w:spacing w:after="160" w:line="300"/>
        <w:jc w:val="both"/>
      </w:pPr>
      <w:r>
        <w:t xml:space="preserve">6.1  The Case Officer’s previous report identified four specific evidential gaps. Each is now addressed:</w:t>
      </w:r>
    </w:p>
    <w:p>
      <w:pPr>
        <w:spacing w:after="160" w:line="300"/>
        <w:jc w:val="both"/>
      </w:pPr>
      <w:r>
        <w:rPr>
          <w:b/>
          <w:bCs/>
        </w:rPr>
        <w:t xml:space="preserve">Visitor patterns and management.  </w:t>
      </w:r>
      <w:r>
        <w:t xml:space="preserve">The previous statement’s reference to a social worker visiting “on an occasional basis” has been replaced with a precise description: an expected average of one to two pre-arranged visits per month, comprising statutory professionals, family contact, occasional health visits and periodic Ofsted inspection. See paragraphs 3.12 to 3.13 above.</w:t>
      </w:r>
    </w:p>
    <w:p>
      <w:pPr>
        <w:spacing w:after="160" w:line="300"/>
        <w:jc w:val="both"/>
      </w:pPr>
      <w:r>
        <w:rPr>
          <w:b/>
          <w:bCs/>
        </w:rPr>
        <w:t xml:space="preserve">Staff changeover times and routines.  </w:t>
      </w:r>
      <w:r>
        <w:t xml:space="preserve">A single daily changeover is now specified, taking place at 10:00 to 10:30 with a 30-minute overlap, deliberately outside the school-run and evening peak parking periods. The Home Manager attends weekdays only, 09:00 to 17:00. Overnight staffing operates on a sleep-in basis using the dedicated staff room shown on the proposed plan. See paragraphs 3.6 to 3.9 above.</w:t>
      </w:r>
    </w:p>
    <w:p>
      <w:pPr>
        <w:spacing w:after="160" w:line="300"/>
        <w:jc w:val="both"/>
      </w:pPr>
      <w:r>
        <w:rPr>
          <w:b/>
          <w:bCs/>
        </w:rPr>
        <w:t xml:space="preserve">Care needs of the children.  </w:t>
      </w:r>
      <w:r>
        <w:t xml:space="preserve">Children placed will have emotional, behavioural and attachment-related needs arising from trauma, neglect or family breakdown, and will be those broadly able to function within a normal domestic setting with adult support. The home will not provide medical care or treatment. See paragraph 3.3 above.</w:t>
      </w:r>
    </w:p>
    <w:p>
      <w:pPr>
        <w:spacing w:after="160" w:line="300"/>
        <w:jc w:val="both"/>
      </w:pPr>
      <w:r>
        <w:rPr>
          <w:b/>
          <w:bCs/>
        </w:rPr>
        <w:t xml:space="preserve">Parking impact.  </w:t>
      </w:r>
      <w:r>
        <w:t xml:space="preserve">Staff will be encouraged to travel by public transport, and the deliberate timing of the single daily changeover at 10:00 to 10:30 places it outside the periods when on-street parking demand on Westminster Avenue is at its greatest. With only two children in placement, total vehicle movements associated with the use will be no greater than those of an ordinary family dwelling. See paragraphs 3.10 to 3.11 above.</w:t>
      </w:r>
    </w:p>
    <w:p>
      <w:pPr>
        <w:spacing w:after="160" w:line="300"/>
        <w:jc w:val="both"/>
      </w:pPr>
      <w:r>
        <w:t xml:space="preserve">6.2  No additional category of evidential concern was identified by the Case Officer in the previous report. There is no remaining factual matter on which the Council lacks information sufficient to make a decision on the balance of probabilities.</w:t>
      </w:r>
    </w:p>
    <w:p>
      <w:pPr>
        <w:pStyle w:val="Heading1"/>
      </w:pPr>
      <w:r>
        <w:t xml:space="preserve">7. Conclusion</w:t>
      </w:r>
    </w:p>
    <w:p>
      <w:pPr>
        <w:spacing w:after="160" w:line="300"/>
        <w:jc w:val="both"/>
      </w:pPr>
      <w:r>
        <w:t xml:space="preserve">7.1  The proposed use is for a dwellinghouse to be occupied by up to two children, with care provided by non-resident staff on a 24-hour rota with a sleep-in arrangement overnight. On the precise operational facts now described, the character of the use of the property would not change in any definable way from its current C3 dwellinghouse use.</w:t>
      </w:r>
    </w:p>
    <w:p>
      <w:pPr>
        <w:spacing w:after="160" w:line="300"/>
        <w:jc w:val="both"/>
      </w:pPr>
      <w:r>
        <w:t xml:space="preserve">7.2  The directly applicable authority of North Devon DC v First Secretary of State [2003] establishes that a use of this kind does not amount to a material change of use. The factual parallel with the present application is exact, and the Leicestershire appeal at APP/K2420/X/11/2155849 reaffirms the same principle on closely analogous facts. The 2023 Ministerial Statement directs local planning authorities to be supportive of applications of this kind.</w:t>
      </w:r>
    </w:p>
    <w:p>
      <w:pPr>
        <w:spacing w:after="160" w:line="300"/>
        <w:jc w:val="both"/>
      </w:pPr>
      <w:r>
        <w:t xml:space="preserve">7.3  Each of the specific evidential concerns raised by the Case Officer in the previous decision has been addressed with precise operational detail. The use proposed is not materially different in character from the existing use of the dwellinghouse.</w:t>
      </w:r>
    </w:p>
    <w:p>
      <w:pPr>
        <w:spacing w:after="160" w:line="300"/>
        <w:jc w:val="both"/>
      </w:pPr>
      <w:r>
        <w:t xml:space="preserve">7.4  The applicant respectfully requests that a Certificate of Lawful Use or Development be granted.</w:t>
      </w:r>
    </w:p>
    <w:p>
      <w:pPr>
        <w:spacing w:after="160" w:line="300"/>
        <w:jc w:val="both"/>
      </w:pPr>
      <w:r>
        <w:t xml:space="preserve"> </w:t>
      </w:r>
    </w:p>
    <w:p>
      <w:pPr>
        <w:spacing w:after="160" w:line="300"/>
        <w:jc w:val="both"/>
      </w:pPr>
      <w:r>
        <w:t xml:space="preserve"> </w:t>
      </w:r>
    </w:p>
    <w:p>
      <w:pPr>
        <w:spacing w:after="160" w:line="300"/>
        <w:jc w:val="both"/>
      </w:pPr>
      <w:r>
        <w:rPr>
          <w:b/>
          <w:bCs/>
        </w:rPr>
        <w:t xml:space="preserve">Asif Mughal</w:t>
      </w:r>
    </w:p>
    <w:p>
      <w:pPr>
        <w:spacing w:after="160" w:line="300"/>
        <w:jc w:val="both"/>
      </w:pPr>
      <w:r>
        <w:rPr>
          <w:i/>
          <w:iCs/>
        </w:rPr>
        <w:t xml:space="preserve">On behalf of Keystone Children’s Group Ltd</w:t>
      </w:r>
    </w:p>
    <w:p>
      <w:pPr>
        <w:spacing w:after="160" w:line="300"/>
        <w:jc w:val="both"/>
      </w:pPr>
      <w:r>
        <w:t xml:space="preserve">29 April 2026</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8"/>
        <w:szCs w:val="18"/>
      </w:rPr>
      <w:t xml:space="preserve">Page </w:t>
    </w:r>
    <w:r>
      <w:rPr>
        <w:color w:val="595959"/>
        <w:sz w:val="18"/>
        <w:szCs w:val="18"/>
      </w:rPr>
      <w:fldChar w:fldCharType="begin"/>
      <w:instrText xml:space="preserve">PAGE</w:instrText>
      <w:fldChar w:fldCharType="separate"/>
      <w:fldChar w:fldCharType="end"/>
    </w:r>
    <w:r>
      <w:rPr>
        <w:color w:val="595959"/>
        <w:sz w:val="18"/>
        <w:szCs w:val="18"/>
      </w:rPr>
      <w:t xml:space="preserve"> of </w:t>
    </w:r>
    <w:r>
      <w:rPr>
        <w:color w:val="595959"/>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95959"/>
        <w:sz w:val="18"/>
        <w:szCs w:val="18"/>
      </w:rPr>
      <w:t xml:space="preserve">4 Westminster Avenue, Manchester M16 0AN – Planning Statement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F3864"/>
      <w:sz w:val="28"/>
      <w:szCs w:val="28"/>
    </w:rPr>
  </w:style>
  <w:style w:type="paragraph" w:styleId="Heading2">
    <w:name w:val="Heading 2"/>
    <w:basedOn w:val="Normal"/>
    <w:next w:val="Normal"/>
    <w:qFormat/>
    <w:pPr>
      <w:spacing w:after="120" w:before="20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fe1fa0d74b500b4ee84cfe31fe13baf329f99b7.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2026-04-29T13:22:08.424Z</dcterms:created>
  <dcterms:modified xsi:type="dcterms:W3CDTF">2026-04-29T13:22:08.425Z</dcterms:modified>
</cp:coreProperties>
</file>

<file path=docProps/custom.xml><?xml version="1.0" encoding="utf-8"?>
<Properties xmlns="http://schemas.openxmlformats.org/officeDocument/2006/custom-properties" xmlns:vt="http://schemas.openxmlformats.org/officeDocument/2006/docPropsVTypes"/>
</file>