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6F7D" w14:textId="4FD96B41" w:rsidR="00506E29" w:rsidRPr="008C2A14" w:rsidRDefault="00506E29" w:rsidP="00506E29">
      <w:pPr>
        <w:autoSpaceDE w:val="0"/>
        <w:autoSpaceDN w:val="0"/>
        <w:adjustRightInd w:val="0"/>
        <w:spacing w:after="0" w:line="240" w:lineRule="auto"/>
        <w:rPr>
          <w:rFonts w:cstheme="minorHAnsi"/>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4961B8" w:rsidRPr="008C2A14" w14:paraId="319A6B0D" w14:textId="77777777" w:rsidTr="0012532F">
        <w:trPr>
          <w:trHeight w:val="4544"/>
        </w:trPr>
        <w:tc>
          <w:tcPr>
            <w:tcW w:w="4508" w:type="dxa"/>
          </w:tcPr>
          <w:p w14:paraId="5C4C918D" w14:textId="39908E30" w:rsidR="004961B8" w:rsidRPr="008C2A14" w:rsidRDefault="004961B8" w:rsidP="00506E29">
            <w:pPr>
              <w:autoSpaceDE w:val="0"/>
              <w:autoSpaceDN w:val="0"/>
              <w:adjustRightInd w:val="0"/>
              <w:rPr>
                <w:rFonts w:cstheme="minorHAnsi"/>
              </w:rPr>
            </w:pPr>
            <w:r w:rsidRPr="008C2A14">
              <w:rPr>
                <w:rFonts w:cstheme="minorHAnsi"/>
                <w:b/>
                <w:bCs/>
              </w:rPr>
              <w:t xml:space="preserve">Application </w:t>
            </w:r>
            <w:r w:rsidR="00B159A7" w:rsidRPr="008C2A14">
              <w:rPr>
                <w:rFonts w:cstheme="minorHAnsi"/>
                <w:b/>
                <w:bCs/>
              </w:rPr>
              <w:t>details</w:t>
            </w:r>
            <w:r w:rsidRPr="008C2A14">
              <w:rPr>
                <w:rFonts w:cstheme="minorHAnsi"/>
              </w:rPr>
              <w:t>:</w:t>
            </w:r>
          </w:p>
        </w:tc>
        <w:tc>
          <w:tcPr>
            <w:tcW w:w="4508" w:type="dxa"/>
          </w:tcPr>
          <w:p w14:paraId="7ACE82CB" w14:textId="77777777" w:rsidR="009B77DE" w:rsidRDefault="009B77DE" w:rsidP="00506E29">
            <w:pPr>
              <w:autoSpaceDE w:val="0"/>
              <w:autoSpaceDN w:val="0"/>
              <w:adjustRightInd w:val="0"/>
              <w:rPr>
                <w:rFonts w:cstheme="minorHAnsi"/>
              </w:rPr>
            </w:pPr>
            <w:r w:rsidRPr="009B77DE">
              <w:rPr>
                <w:rFonts w:cstheme="minorHAnsi"/>
                <w:b/>
                <w:bCs/>
              </w:rPr>
              <w:t>Application</w:t>
            </w:r>
            <w:r w:rsidRPr="009B77DE">
              <w:rPr>
                <w:rFonts w:cstheme="minorHAnsi"/>
              </w:rPr>
              <w:t xml:space="preserve"> </w:t>
            </w:r>
            <w:r w:rsidRPr="009B77DE">
              <w:rPr>
                <w:rFonts w:cstheme="minorHAnsi"/>
                <w:b/>
                <w:bCs/>
              </w:rPr>
              <w:t>number</w:t>
            </w:r>
            <w:r w:rsidRPr="009B77DE">
              <w:rPr>
                <w:rFonts w:cstheme="minorHAnsi"/>
              </w:rPr>
              <w:t xml:space="preserve">: 141175/JO/2024 </w:t>
            </w:r>
          </w:p>
          <w:p w14:paraId="4922CD9D" w14:textId="77777777" w:rsidR="009B77DE" w:rsidRDefault="009B77DE" w:rsidP="00506E29">
            <w:pPr>
              <w:autoSpaceDE w:val="0"/>
              <w:autoSpaceDN w:val="0"/>
              <w:adjustRightInd w:val="0"/>
              <w:rPr>
                <w:rFonts w:cstheme="minorHAnsi"/>
              </w:rPr>
            </w:pPr>
            <w:r w:rsidRPr="009B77DE">
              <w:rPr>
                <w:rFonts w:cstheme="minorHAnsi"/>
                <w:b/>
                <w:bCs/>
              </w:rPr>
              <w:t>Proposal</w:t>
            </w:r>
            <w:r w:rsidRPr="009B77DE">
              <w:rPr>
                <w:rFonts w:cstheme="minorHAnsi"/>
              </w:rPr>
              <w:t>: RECONSULTATION DUE TO AMENDMENTS TO PROPOSED SCHEME AND ADDITIONAL INFORMATION RELATING TO THE ENVIRONMENTAL STATEMENT - Variation of conditions 2 (</w:t>
            </w:r>
            <w:proofErr w:type="spellStart"/>
            <w:r w:rsidRPr="009B77DE">
              <w:rPr>
                <w:rFonts w:cstheme="minorHAnsi"/>
              </w:rPr>
              <w:t>Dwgs</w:t>
            </w:r>
            <w:proofErr w:type="spellEnd"/>
            <w:r w:rsidRPr="009B77DE">
              <w:rPr>
                <w:rFonts w:cstheme="minorHAnsi"/>
              </w:rPr>
              <w:t xml:space="preserve">), 14 (Noise and Ventilation), 15 (Noise Commercial), 34 (Use Commercial), 35 (Car Park Management), 37 (Bar Restaurant Management), 40 (Cycle Parking) and 43 (Fire Safety) attached to planning permission 132088/FO/2021 consisting of external alterations including changes resulting from internal layout changes and </w:t>
            </w:r>
            <w:r w:rsidRPr="009B77DE">
              <w:rPr>
                <w:rFonts w:cstheme="minorHAnsi"/>
                <w:highlight w:val="yellow"/>
              </w:rPr>
              <w:t>discharge of condition</w:t>
            </w:r>
            <w:r w:rsidRPr="009B77DE">
              <w:rPr>
                <w:rFonts w:cstheme="minorHAnsi"/>
              </w:rPr>
              <w:t xml:space="preserve">s 3(a) Materials and </w:t>
            </w:r>
            <w:r w:rsidRPr="009B77DE">
              <w:rPr>
                <w:rFonts w:cstheme="minorHAnsi"/>
                <w:highlight w:val="yellow"/>
              </w:rPr>
              <w:t>9 (SUDS Implementation)</w:t>
            </w:r>
            <w:r w:rsidRPr="009B77DE">
              <w:rPr>
                <w:rFonts w:cstheme="minorHAnsi"/>
              </w:rPr>
              <w:t xml:space="preserve"> </w:t>
            </w:r>
          </w:p>
          <w:p w14:paraId="0078B3E8" w14:textId="5F7C9311" w:rsidR="004961B8" w:rsidRPr="008C2A14" w:rsidRDefault="009B77DE" w:rsidP="00506E29">
            <w:pPr>
              <w:autoSpaceDE w:val="0"/>
              <w:autoSpaceDN w:val="0"/>
              <w:adjustRightInd w:val="0"/>
              <w:rPr>
                <w:rFonts w:cstheme="minorHAnsi"/>
              </w:rPr>
            </w:pPr>
            <w:r w:rsidRPr="009B77DE">
              <w:rPr>
                <w:rFonts w:cstheme="minorHAnsi"/>
                <w:b/>
                <w:bCs/>
              </w:rPr>
              <w:t>Location</w:t>
            </w:r>
            <w:r w:rsidRPr="009B77DE">
              <w:rPr>
                <w:rFonts w:cstheme="minorHAnsi"/>
              </w:rPr>
              <w:t>: Land At Deansgate/Victoria Bridge Street, Manchester, M3 2EQ</w:t>
            </w:r>
          </w:p>
        </w:tc>
      </w:tr>
    </w:tbl>
    <w:p w14:paraId="66E9776B" w14:textId="77777777" w:rsidR="00506E29" w:rsidRPr="008C2A14" w:rsidRDefault="00506E29" w:rsidP="004961B8">
      <w:pPr>
        <w:rPr>
          <w:b/>
          <w:bCs/>
          <w:u w:val="single"/>
        </w:rPr>
      </w:pPr>
    </w:p>
    <w:p w14:paraId="25973C18" w14:textId="7F692689" w:rsidR="00506E29" w:rsidRPr="008C2A14" w:rsidRDefault="00506E29" w:rsidP="00506E29">
      <w:pPr>
        <w:jc w:val="center"/>
        <w:rPr>
          <w:b/>
          <w:bCs/>
          <w:u w:val="single"/>
        </w:rPr>
      </w:pPr>
      <w:r w:rsidRPr="008C2A14">
        <w:rPr>
          <w:b/>
          <w:bCs/>
          <w:u w:val="single"/>
        </w:rPr>
        <w:t xml:space="preserve">LLFA </w:t>
      </w:r>
      <w:r w:rsidRPr="00E1046E">
        <w:rPr>
          <w:b/>
          <w:bCs/>
          <w:u w:val="single"/>
        </w:rPr>
        <w:t xml:space="preserve">Comments </w:t>
      </w:r>
      <w:r w:rsidR="00E1046E" w:rsidRPr="00E1046E">
        <w:rPr>
          <w:b/>
          <w:bCs/>
          <w:u w:val="single"/>
        </w:rPr>
        <w:t>21</w:t>
      </w:r>
      <w:r w:rsidRPr="00E1046E">
        <w:rPr>
          <w:b/>
          <w:bCs/>
          <w:u w:val="single"/>
        </w:rPr>
        <w:t>/</w:t>
      </w:r>
      <w:r w:rsidR="00E1046E" w:rsidRPr="00E1046E">
        <w:rPr>
          <w:b/>
          <w:bCs/>
          <w:u w:val="single"/>
        </w:rPr>
        <w:t>11</w:t>
      </w:r>
      <w:r w:rsidRPr="00E1046E">
        <w:rPr>
          <w:b/>
          <w:bCs/>
          <w:u w:val="single"/>
        </w:rPr>
        <w:t>/</w:t>
      </w:r>
      <w:r w:rsidR="00E1046E" w:rsidRPr="00E1046E">
        <w:rPr>
          <w:b/>
          <w:bCs/>
          <w:u w:val="single"/>
        </w:rPr>
        <w:t>2025</w:t>
      </w:r>
    </w:p>
    <w:p w14:paraId="35E93C63" w14:textId="77777777" w:rsidR="00506E29" w:rsidRPr="008C2A14" w:rsidRDefault="00506E29" w:rsidP="00506E29">
      <w:pPr>
        <w:rPr>
          <w:b/>
          <w:bCs/>
        </w:rPr>
      </w:pPr>
      <w:r w:rsidRPr="008C2A14">
        <w:rPr>
          <w:b/>
          <w:bCs/>
        </w:rPr>
        <w:t>The following Information has been considered:</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506E29" w:rsidRPr="008C2A14" w14:paraId="12A201E1" w14:textId="77777777" w:rsidTr="00AA62BF">
        <w:tc>
          <w:tcPr>
            <w:tcW w:w="4248" w:type="dxa"/>
          </w:tcPr>
          <w:p w14:paraId="723F4B3B" w14:textId="35EE47AC" w:rsidR="00506E29" w:rsidRPr="008C2A14" w:rsidRDefault="00506E29" w:rsidP="00506E29">
            <w:pPr>
              <w:rPr>
                <w:b/>
                <w:bCs/>
              </w:rPr>
            </w:pPr>
            <w:r w:rsidRPr="008C2A14">
              <w:t>Planning Portal uploads:</w:t>
            </w:r>
          </w:p>
        </w:tc>
        <w:tc>
          <w:tcPr>
            <w:tcW w:w="4768" w:type="dxa"/>
          </w:tcPr>
          <w:p w14:paraId="3189534E" w14:textId="1ECCE0CB" w:rsidR="00506E29" w:rsidRPr="008C2A14" w:rsidRDefault="007768F6" w:rsidP="00506E29">
            <w:r>
              <w:t>07/10/2025 – 28/10/2025</w:t>
            </w:r>
          </w:p>
          <w:p w14:paraId="013613CB" w14:textId="77777777" w:rsidR="00506E29" w:rsidRPr="008C2A14" w:rsidRDefault="00506E29" w:rsidP="00506E29">
            <w:pPr>
              <w:rPr>
                <w:b/>
                <w:bCs/>
              </w:rPr>
            </w:pPr>
          </w:p>
        </w:tc>
      </w:tr>
      <w:tr w:rsidR="00506E29" w:rsidRPr="008C2A14" w14:paraId="579DF336" w14:textId="77777777" w:rsidTr="00AA62BF">
        <w:tc>
          <w:tcPr>
            <w:tcW w:w="4248" w:type="dxa"/>
          </w:tcPr>
          <w:p w14:paraId="6C2ED1E1" w14:textId="5FDB6981" w:rsidR="00506E29" w:rsidRPr="008C2A14" w:rsidRDefault="00506E29" w:rsidP="00506E29">
            <w:pPr>
              <w:rPr>
                <w:b/>
                <w:bCs/>
              </w:rPr>
            </w:pPr>
            <w:r w:rsidRPr="008C2A14">
              <w:t>Further submission emails:</w:t>
            </w:r>
          </w:p>
        </w:tc>
        <w:tc>
          <w:tcPr>
            <w:tcW w:w="4768" w:type="dxa"/>
          </w:tcPr>
          <w:p w14:paraId="4FB1BF46" w14:textId="70957F60" w:rsidR="00506E29" w:rsidRPr="008C2A14" w:rsidRDefault="007768F6" w:rsidP="00506E29">
            <w:r>
              <w:t>-</w:t>
            </w:r>
          </w:p>
          <w:p w14:paraId="5B369278" w14:textId="115EB127" w:rsidR="00506E29" w:rsidRPr="008C2A14" w:rsidRDefault="00506E29" w:rsidP="00506E29"/>
        </w:tc>
      </w:tr>
      <w:tr w:rsidR="00AA62BF" w:rsidRPr="008C2A14" w14:paraId="3133E5BF" w14:textId="77777777" w:rsidTr="00AA62BF">
        <w:tc>
          <w:tcPr>
            <w:tcW w:w="4248" w:type="dxa"/>
          </w:tcPr>
          <w:p w14:paraId="3232F44F" w14:textId="7FB6C8AA" w:rsidR="00AA62BF" w:rsidRPr="008C2A14" w:rsidRDefault="00AA62BF" w:rsidP="00506E29">
            <w:r>
              <w:t>Previous CDN attempts to discharge the Condition:</w:t>
            </w:r>
          </w:p>
        </w:tc>
        <w:tc>
          <w:tcPr>
            <w:tcW w:w="4768" w:type="dxa"/>
          </w:tcPr>
          <w:p w14:paraId="67D3536A" w14:textId="15A60BAA" w:rsidR="00AA62BF" w:rsidRPr="008C2A14" w:rsidRDefault="007768F6" w:rsidP="00506E29">
            <w:r w:rsidRPr="007768F6">
              <w:t>CDN</w:t>
            </w:r>
            <w:r>
              <w:t>/</w:t>
            </w:r>
            <w:r w:rsidRPr="007768F6">
              <w:t>24</w:t>
            </w:r>
            <w:r>
              <w:t>/</w:t>
            </w:r>
            <w:r w:rsidRPr="007768F6">
              <w:t>0195</w:t>
            </w:r>
          </w:p>
        </w:tc>
      </w:tr>
    </w:tbl>
    <w:p w14:paraId="2676E1C1" w14:textId="77777777" w:rsidR="008C2A14" w:rsidRDefault="008C2A14"/>
    <w:p w14:paraId="4A1E2EB3" w14:textId="77777777" w:rsidR="00C0799C" w:rsidRDefault="00C0799C"/>
    <w:tbl>
      <w:tblPr>
        <w:tblStyle w:val="TableGrid"/>
        <w:tblW w:w="0" w:type="auto"/>
        <w:tblLook w:val="04A0" w:firstRow="1" w:lastRow="0" w:firstColumn="1" w:lastColumn="0" w:noHBand="0" w:noVBand="1"/>
      </w:tblPr>
      <w:tblGrid>
        <w:gridCol w:w="9016"/>
      </w:tblGrid>
      <w:tr w:rsidR="00C0799C" w14:paraId="6764A35F" w14:textId="77777777" w:rsidTr="00C0799C">
        <w:tc>
          <w:tcPr>
            <w:tcW w:w="9016" w:type="dxa"/>
          </w:tcPr>
          <w:p w14:paraId="387B25C4" w14:textId="65FB6E30" w:rsidR="00C0799C" w:rsidRPr="00C0799C" w:rsidRDefault="00C0799C">
            <w:pPr>
              <w:rPr>
                <w:b/>
                <w:bCs/>
              </w:rPr>
            </w:pPr>
            <w:r w:rsidRPr="00C0799C">
              <w:rPr>
                <w:b/>
                <w:bCs/>
              </w:rPr>
              <w:t>Any LLFA Comments to LPA</w:t>
            </w:r>
          </w:p>
        </w:tc>
      </w:tr>
      <w:tr w:rsidR="00C0799C" w14:paraId="14225E3F" w14:textId="77777777" w:rsidTr="00C0799C">
        <w:tc>
          <w:tcPr>
            <w:tcW w:w="9016" w:type="dxa"/>
          </w:tcPr>
          <w:p w14:paraId="5B6A5B83" w14:textId="77777777" w:rsidR="00C0799C" w:rsidRDefault="00C0799C"/>
          <w:p w14:paraId="42717580" w14:textId="4D637EDF" w:rsidR="00973D5F" w:rsidRDefault="00973D5F" w:rsidP="00E1046E"/>
          <w:p w14:paraId="122F7F42" w14:textId="77777777" w:rsidR="00E1046E" w:rsidRDefault="00E1046E" w:rsidP="00E1046E"/>
          <w:p w14:paraId="6796B11E" w14:textId="77777777" w:rsidR="00E1046E" w:rsidRPr="000900E4" w:rsidRDefault="00E1046E" w:rsidP="00E1046E"/>
          <w:p w14:paraId="35B49F63" w14:textId="77777777" w:rsidR="00973D5F" w:rsidRDefault="00973D5F"/>
          <w:p w14:paraId="1ADC652E" w14:textId="4715F5C3" w:rsidR="00C0799C" w:rsidRDefault="00C0799C"/>
        </w:tc>
      </w:tr>
    </w:tbl>
    <w:p w14:paraId="438DE217" w14:textId="4A36EC86" w:rsidR="00C0799C" w:rsidRPr="008C2A14" w:rsidRDefault="00C0799C">
      <w:pPr>
        <w:sectPr w:rsidR="00C0799C" w:rsidRPr="008C2A14">
          <w:headerReference w:type="default" r:id="rId7"/>
          <w:footerReference w:type="default" r:id="rId8"/>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2122"/>
        <w:gridCol w:w="2409"/>
      </w:tblGrid>
      <w:tr w:rsidR="006A3DC2" w14:paraId="2E2B1CD7" w14:textId="77777777" w:rsidTr="006A3DC2">
        <w:tc>
          <w:tcPr>
            <w:tcW w:w="2122" w:type="dxa"/>
          </w:tcPr>
          <w:p w14:paraId="219B465E" w14:textId="45BB22E1" w:rsidR="006A3DC2" w:rsidRPr="006A3DC2" w:rsidRDefault="006A3DC2">
            <w:pPr>
              <w:rPr>
                <w:b/>
                <w:bCs/>
              </w:rPr>
            </w:pPr>
            <w:r w:rsidRPr="006A3DC2">
              <w:rPr>
                <w:b/>
                <w:bCs/>
              </w:rPr>
              <w:lastRenderedPageBreak/>
              <w:t>Condition number</w:t>
            </w:r>
          </w:p>
        </w:tc>
        <w:tc>
          <w:tcPr>
            <w:tcW w:w="2409" w:type="dxa"/>
          </w:tcPr>
          <w:p w14:paraId="5CE73D64" w14:textId="4A329A26" w:rsidR="006A3DC2" w:rsidRDefault="009B77DE">
            <w:r>
              <w:t>9</w:t>
            </w:r>
          </w:p>
        </w:tc>
      </w:tr>
      <w:tr w:rsidR="0085198F" w14:paraId="073DF69F" w14:textId="77777777" w:rsidTr="006A3DC2">
        <w:tc>
          <w:tcPr>
            <w:tcW w:w="2122" w:type="dxa"/>
          </w:tcPr>
          <w:p w14:paraId="6DA8C4D3" w14:textId="2DAFB219" w:rsidR="0085198F" w:rsidRPr="006A3DC2" w:rsidRDefault="0085198F">
            <w:pPr>
              <w:rPr>
                <w:b/>
                <w:bCs/>
              </w:rPr>
            </w:pPr>
            <w:r>
              <w:rPr>
                <w:b/>
                <w:bCs/>
              </w:rPr>
              <w:t>Decision Notice</w:t>
            </w:r>
          </w:p>
        </w:tc>
        <w:tc>
          <w:tcPr>
            <w:tcW w:w="2409" w:type="dxa"/>
          </w:tcPr>
          <w:p w14:paraId="7E93CD75" w14:textId="16515B91" w:rsidR="0085198F" w:rsidRDefault="009B77DE">
            <w:r w:rsidRPr="009B77DE">
              <w:rPr>
                <w:rFonts w:cstheme="minorHAnsi"/>
              </w:rPr>
              <w:t>141175/JO/2024</w:t>
            </w:r>
          </w:p>
        </w:tc>
      </w:tr>
    </w:tbl>
    <w:p w14:paraId="13E9E9C7" w14:textId="5B50A1BF" w:rsidR="008C2A14" w:rsidRDefault="008C2A14" w:rsidP="00E1046E">
      <w:pPr>
        <w:spacing w:after="0"/>
      </w:pPr>
    </w:p>
    <w:tbl>
      <w:tblPr>
        <w:tblStyle w:val="TableGrid"/>
        <w:tblpPr w:leftFromText="180" w:rightFromText="180" w:vertAnchor="text" w:horzAnchor="margin" w:tblpY="152"/>
        <w:tblW w:w="0" w:type="auto"/>
        <w:tblLook w:val="04A0" w:firstRow="1" w:lastRow="0" w:firstColumn="1" w:lastColumn="0" w:noHBand="0" w:noVBand="1"/>
      </w:tblPr>
      <w:tblGrid>
        <w:gridCol w:w="5413"/>
        <w:gridCol w:w="1391"/>
        <w:gridCol w:w="1386"/>
        <w:gridCol w:w="5758"/>
      </w:tblGrid>
      <w:tr w:rsidR="00D1100A" w14:paraId="40EF27D2" w14:textId="77777777" w:rsidTr="00E1046E">
        <w:tc>
          <w:tcPr>
            <w:tcW w:w="0" w:type="auto"/>
          </w:tcPr>
          <w:p w14:paraId="7C71EC28" w14:textId="77777777" w:rsidR="000252C3" w:rsidRPr="00B159A7" w:rsidRDefault="000252C3" w:rsidP="008C2A14">
            <w:pPr>
              <w:rPr>
                <w:b/>
                <w:bCs/>
              </w:rPr>
            </w:pPr>
            <w:r w:rsidRPr="00B159A7">
              <w:rPr>
                <w:b/>
                <w:bCs/>
              </w:rPr>
              <w:t>Decision Notice Clause</w:t>
            </w:r>
          </w:p>
        </w:tc>
        <w:tc>
          <w:tcPr>
            <w:tcW w:w="0" w:type="auto"/>
            <w:shd w:val="clear" w:color="auto" w:fill="DEEAF6" w:themeFill="accent5" w:themeFillTint="33"/>
          </w:tcPr>
          <w:p w14:paraId="62F20FE4" w14:textId="717D9381" w:rsidR="000252C3" w:rsidRPr="00B159A7" w:rsidRDefault="000252C3" w:rsidP="008C2A14">
            <w:pPr>
              <w:rPr>
                <w:b/>
                <w:bCs/>
              </w:rPr>
            </w:pPr>
            <w:r>
              <w:rPr>
                <w:b/>
                <w:bCs/>
              </w:rPr>
              <w:t>Contained in submission</w:t>
            </w:r>
          </w:p>
        </w:tc>
        <w:tc>
          <w:tcPr>
            <w:tcW w:w="0" w:type="auto"/>
            <w:shd w:val="clear" w:color="auto" w:fill="FFF2CC" w:themeFill="accent4" w:themeFillTint="33"/>
          </w:tcPr>
          <w:p w14:paraId="397DB6FD" w14:textId="4CD4E056" w:rsidR="000252C3" w:rsidRPr="00B159A7" w:rsidRDefault="000252C3" w:rsidP="008C2A14">
            <w:pPr>
              <w:rPr>
                <w:b/>
                <w:bCs/>
              </w:rPr>
            </w:pPr>
            <w:r w:rsidRPr="00B159A7">
              <w:rPr>
                <w:b/>
                <w:bCs/>
              </w:rPr>
              <w:t>A</w:t>
            </w:r>
            <w:r>
              <w:rPr>
                <w:b/>
                <w:bCs/>
              </w:rPr>
              <w:t xml:space="preserve">pprovable standard </w:t>
            </w:r>
          </w:p>
        </w:tc>
        <w:tc>
          <w:tcPr>
            <w:tcW w:w="0" w:type="auto"/>
          </w:tcPr>
          <w:p w14:paraId="4E27FFC8" w14:textId="77777777" w:rsidR="000252C3" w:rsidRDefault="000252C3" w:rsidP="008C2A14">
            <w:pPr>
              <w:rPr>
                <w:b/>
                <w:bCs/>
              </w:rPr>
            </w:pPr>
            <w:r w:rsidRPr="00B159A7">
              <w:rPr>
                <w:b/>
                <w:bCs/>
              </w:rPr>
              <w:t>Further information required</w:t>
            </w:r>
            <w:r>
              <w:rPr>
                <w:b/>
                <w:bCs/>
              </w:rPr>
              <w:t>:</w:t>
            </w:r>
            <w:r w:rsidR="00EB3125">
              <w:rPr>
                <w:b/>
                <w:bCs/>
              </w:rPr>
              <w:t xml:space="preserve"> </w:t>
            </w:r>
          </w:p>
          <w:p w14:paraId="26E1D683" w14:textId="775A6241" w:rsidR="00EB3125" w:rsidRPr="00B159A7" w:rsidRDefault="00EB3125" w:rsidP="008C2A14">
            <w:pPr>
              <w:rPr>
                <w:b/>
                <w:bCs/>
              </w:rPr>
            </w:pPr>
            <w:r w:rsidRPr="00EB3125">
              <w:rPr>
                <w:b/>
                <w:bCs/>
                <w:color w:val="FF0000"/>
              </w:rPr>
              <w:t>(REN Response 24.11.2025)</w:t>
            </w:r>
          </w:p>
        </w:tc>
      </w:tr>
      <w:tr w:rsidR="00D1100A" w14:paraId="02D7BFCB" w14:textId="77777777" w:rsidTr="00E1046E">
        <w:tc>
          <w:tcPr>
            <w:tcW w:w="0" w:type="auto"/>
          </w:tcPr>
          <w:p w14:paraId="31D78107" w14:textId="323972FF" w:rsidR="00AE7BCA" w:rsidRPr="009B77DE" w:rsidRDefault="009B77DE" w:rsidP="009B77DE">
            <w:pPr>
              <w:autoSpaceDE w:val="0"/>
              <w:autoSpaceDN w:val="0"/>
              <w:adjustRightInd w:val="0"/>
              <w:rPr>
                <w:rFonts w:cstheme="minorHAnsi"/>
              </w:rPr>
            </w:pPr>
            <w:r w:rsidRPr="009B77DE">
              <w:rPr>
                <w:rFonts w:cstheme="minorHAnsi"/>
              </w:rPr>
              <w:t>Maximised integration of green SuDS components (utilising infiltration or attenuation) if practicable. This shall include consideration of integrating the drainage strategy with the green landscaping design. Assessment demonstrating maximised integration of green SuDS components is required in-line with Manchester City Council’s Climate Change Action Plan 2020-25.</w:t>
            </w:r>
          </w:p>
        </w:tc>
        <w:tc>
          <w:tcPr>
            <w:tcW w:w="0" w:type="auto"/>
            <w:shd w:val="clear" w:color="auto" w:fill="DEEAF6" w:themeFill="accent5" w:themeFillTint="33"/>
          </w:tcPr>
          <w:p w14:paraId="0CF66128" w14:textId="5D4F8F1D" w:rsidR="00AE7BCA" w:rsidRDefault="00AE7BCA" w:rsidP="00AE7BCA">
            <w:r>
              <w:t>Y</w:t>
            </w:r>
          </w:p>
        </w:tc>
        <w:tc>
          <w:tcPr>
            <w:tcW w:w="0" w:type="auto"/>
            <w:shd w:val="clear" w:color="auto" w:fill="FFF2CC" w:themeFill="accent4" w:themeFillTint="33"/>
          </w:tcPr>
          <w:p w14:paraId="337DA5F0" w14:textId="6580101B" w:rsidR="00AE7BCA" w:rsidRDefault="00AE7BCA" w:rsidP="00AE7BCA">
            <w:r>
              <w:t>Y</w:t>
            </w:r>
          </w:p>
        </w:tc>
        <w:tc>
          <w:tcPr>
            <w:tcW w:w="0" w:type="auto"/>
          </w:tcPr>
          <w:p w14:paraId="7653AB18" w14:textId="324EA1FD" w:rsidR="00AE7BCA" w:rsidRDefault="00AE7BCA" w:rsidP="00AE7BCA"/>
        </w:tc>
      </w:tr>
      <w:tr w:rsidR="00D1100A" w14:paraId="0C5C386A" w14:textId="77777777" w:rsidTr="00E1046E">
        <w:tc>
          <w:tcPr>
            <w:tcW w:w="0" w:type="auto"/>
          </w:tcPr>
          <w:p w14:paraId="29E57CD4" w14:textId="4F13B4C8" w:rsidR="00AE7BCA" w:rsidRPr="009B77DE" w:rsidRDefault="009B77DE" w:rsidP="009B77DE">
            <w:pPr>
              <w:autoSpaceDE w:val="0"/>
              <w:autoSpaceDN w:val="0"/>
              <w:adjustRightInd w:val="0"/>
              <w:rPr>
                <w:rFonts w:cstheme="minorHAnsi"/>
              </w:rPr>
            </w:pPr>
            <w:r w:rsidRPr="009B77DE">
              <w:rPr>
                <w:rFonts w:cstheme="minorHAnsi"/>
              </w:rPr>
              <w:t xml:space="preserve">Details of surface water attenuation that offers a reduction in surface water runoff rate to greenfield runoff rates; </w:t>
            </w:r>
          </w:p>
        </w:tc>
        <w:tc>
          <w:tcPr>
            <w:tcW w:w="0" w:type="auto"/>
            <w:shd w:val="clear" w:color="auto" w:fill="DEEAF6" w:themeFill="accent5" w:themeFillTint="33"/>
          </w:tcPr>
          <w:p w14:paraId="2B2A5C31" w14:textId="2F8E5D03" w:rsidR="00AE7BCA" w:rsidRDefault="00AE7BCA" w:rsidP="00AE7BCA">
            <w:r>
              <w:t>Y</w:t>
            </w:r>
          </w:p>
        </w:tc>
        <w:tc>
          <w:tcPr>
            <w:tcW w:w="0" w:type="auto"/>
            <w:shd w:val="clear" w:color="auto" w:fill="FFF2CC" w:themeFill="accent4" w:themeFillTint="33"/>
          </w:tcPr>
          <w:p w14:paraId="63F29FB1" w14:textId="7133B8FE" w:rsidR="00AE7BCA" w:rsidRDefault="00AE7BCA" w:rsidP="00AE7BCA">
            <w:r>
              <w:t>Y</w:t>
            </w:r>
          </w:p>
        </w:tc>
        <w:tc>
          <w:tcPr>
            <w:tcW w:w="0" w:type="auto"/>
          </w:tcPr>
          <w:p w14:paraId="6DE52F80" w14:textId="77777777" w:rsidR="00AE7BCA" w:rsidRDefault="00AE7BCA" w:rsidP="00AE7BCA"/>
        </w:tc>
      </w:tr>
      <w:tr w:rsidR="00D1100A" w14:paraId="13F95D1A" w14:textId="77777777" w:rsidTr="00E1046E">
        <w:tc>
          <w:tcPr>
            <w:tcW w:w="0" w:type="auto"/>
          </w:tcPr>
          <w:p w14:paraId="48ECF82C" w14:textId="234D542F" w:rsidR="00AE7BCA" w:rsidRPr="009B77DE" w:rsidRDefault="009B77DE" w:rsidP="009B77DE">
            <w:pPr>
              <w:autoSpaceDE w:val="0"/>
              <w:autoSpaceDN w:val="0"/>
              <w:adjustRightInd w:val="0"/>
              <w:rPr>
                <w:rFonts w:cstheme="minorHAnsi"/>
              </w:rPr>
            </w:pPr>
            <w:r w:rsidRPr="009B77DE">
              <w:rPr>
                <w:rFonts w:cstheme="minorHAnsi"/>
              </w:rPr>
              <w:t xml:space="preserve">An existing and proposed impermeable areas drawing to accompany all discharge rate calculations. </w:t>
            </w:r>
          </w:p>
        </w:tc>
        <w:tc>
          <w:tcPr>
            <w:tcW w:w="0" w:type="auto"/>
            <w:shd w:val="clear" w:color="auto" w:fill="DEEAF6" w:themeFill="accent5" w:themeFillTint="33"/>
          </w:tcPr>
          <w:p w14:paraId="3B51D7E5" w14:textId="3C27A3DC" w:rsidR="00AE7BCA" w:rsidRDefault="00AE7BCA" w:rsidP="00AE7BCA">
            <w:r>
              <w:t>Y</w:t>
            </w:r>
          </w:p>
        </w:tc>
        <w:tc>
          <w:tcPr>
            <w:tcW w:w="0" w:type="auto"/>
            <w:shd w:val="clear" w:color="auto" w:fill="FFF2CC" w:themeFill="accent4" w:themeFillTint="33"/>
          </w:tcPr>
          <w:p w14:paraId="45F99CA1" w14:textId="126D9AF4" w:rsidR="00AE7BCA" w:rsidRDefault="00AE7BCA" w:rsidP="00AE7BCA">
            <w:r>
              <w:t>Y</w:t>
            </w:r>
          </w:p>
        </w:tc>
        <w:tc>
          <w:tcPr>
            <w:tcW w:w="0" w:type="auto"/>
          </w:tcPr>
          <w:p w14:paraId="13FAB4DE" w14:textId="77777777" w:rsidR="00AE7BCA" w:rsidRDefault="00AE7BCA" w:rsidP="00AE7BCA"/>
        </w:tc>
      </w:tr>
      <w:tr w:rsidR="00D1100A" w14:paraId="2D24549F" w14:textId="77777777" w:rsidTr="00E1046E">
        <w:tc>
          <w:tcPr>
            <w:tcW w:w="0" w:type="auto"/>
          </w:tcPr>
          <w:p w14:paraId="6075679D" w14:textId="2C2AA323" w:rsidR="00E1046E" w:rsidRPr="009B77DE" w:rsidRDefault="009B77DE" w:rsidP="009B77DE">
            <w:pPr>
              <w:autoSpaceDE w:val="0"/>
              <w:autoSpaceDN w:val="0"/>
              <w:adjustRightInd w:val="0"/>
              <w:rPr>
                <w:rFonts w:cstheme="minorHAnsi"/>
              </w:rPr>
            </w:pPr>
            <w:r w:rsidRPr="009B77DE">
              <w:rPr>
                <w:rFonts w:cstheme="minorHAnsi"/>
              </w:rPr>
              <w:t xml:space="preserve">Runoff volume in the 1 in </w:t>
            </w:r>
            <w:proofErr w:type="gramStart"/>
            <w:r w:rsidRPr="009B77DE">
              <w:rPr>
                <w:rFonts w:cstheme="minorHAnsi"/>
              </w:rPr>
              <w:t>100 year</w:t>
            </w:r>
            <w:proofErr w:type="gramEnd"/>
            <w:r w:rsidRPr="009B77DE">
              <w:rPr>
                <w:rFonts w:cstheme="minorHAnsi"/>
              </w:rPr>
              <w:t xml:space="preserve">, 6 hours rainfall shall be constrained to a value as close as is </w:t>
            </w:r>
            <w:proofErr w:type="gramStart"/>
            <w:r w:rsidRPr="009B77DE">
              <w:rPr>
                <w:rFonts w:cstheme="minorHAnsi"/>
              </w:rPr>
              <w:t>reasonable</w:t>
            </w:r>
            <w:proofErr w:type="gramEnd"/>
            <w:r w:rsidRPr="009B77DE">
              <w:rPr>
                <w:rFonts w:cstheme="minorHAnsi"/>
              </w:rPr>
              <w:t xml:space="preserve"> practicable to the greenfield runoff volume for the same event, but never to exceed the runoff volume from the development site prior to redevelopment; </w:t>
            </w:r>
          </w:p>
        </w:tc>
        <w:tc>
          <w:tcPr>
            <w:tcW w:w="0" w:type="auto"/>
            <w:shd w:val="clear" w:color="auto" w:fill="DEEAF6" w:themeFill="accent5" w:themeFillTint="33"/>
          </w:tcPr>
          <w:p w14:paraId="61228E83" w14:textId="60D84EB4" w:rsidR="00AE7BCA" w:rsidRDefault="00AE7BCA" w:rsidP="00AE7BCA">
            <w:r>
              <w:t>Y</w:t>
            </w:r>
          </w:p>
        </w:tc>
        <w:tc>
          <w:tcPr>
            <w:tcW w:w="0" w:type="auto"/>
            <w:shd w:val="clear" w:color="auto" w:fill="FFF2CC" w:themeFill="accent4" w:themeFillTint="33"/>
          </w:tcPr>
          <w:p w14:paraId="1314E295" w14:textId="1AA45CD2" w:rsidR="00AE7BCA" w:rsidRDefault="00AE7BCA" w:rsidP="00AE7BCA">
            <w:r>
              <w:t>Y</w:t>
            </w:r>
          </w:p>
        </w:tc>
        <w:tc>
          <w:tcPr>
            <w:tcW w:w="0" w:type="auto"/>
          </w:tcPr>
          <w:p w14:paraId="23451ADD" w14:textId="3C72C8EE" w:rsidR="00AE7BCA" w:rsidRDefault="00D4216B" w:rsidP="00AE7BCA">
            <w:r w:rsidRPr="00D4216B">
              <w:t xml:space="preserve">Greenfield Runoff Volume </w:t>
            </w:r>
            <w:r>
              <w:t>has been</w:t>
            </w:r>
            <w:r w:rsidRPr="00D4216B">
              <w:t xml:space="preserve"> </w:t>
            </w:r>
            <w:r>
              <w:t>confirmed</w:t>
            </w:r>
            <w:r w:rsidRPr="00D4216B">
              <w:t xml:space="preserve"> to be 64.7m</w:t>
            </w:r>
            <w:r w:rsidRPr="00D4216B">
              <w:rPr>
                <w:vertAlign w:val="superscript"/>
              </w:rPr>
              <w:t>3</w:t>
            </w:r>
            <w:r>
              <w:t xml:space="preserve">, the hydraulic calculations indicate a maximum modelled discharge volume at pipe </w:t>
            </w:r>
            <w:r w:rsidRPr="00D4216B">
              <w:t>S1.008</w:t>
            </w:r>
            <w:r>
              <w:t xml:space="preserve"> (outfall) of </w:t>
            </w:r>
            <w:r w:rsidRPr="00D4216B">
              <w:t>45.381</w:t>
            </w:r>
            <w:r>
              <w:t>m</w:t>
            </w:r>
            <w:r w:rsidRPr="00D4216B">
              <w:rPr>
                <w:vertAlign w:val="superscript"/>
              </w:rPr>
              <w:t>3</w:t>
            </w:r>
            <w:r>
              <w:t>.</w:t>
            </w:r>
          </w:p>
        </w:tc>
      </w:tr>
      <w:tr w:rsidR="00D1100A" w14:paraId="07705FED" w14:textId="77777777" w:rsidTr="00E1046E">
        <w:tc>
          <w:tcPr>
            <w:tcW w:w="0" w:type="auto"/>
          </w:tcPr>
          <w:p w14:paraId="79366C1F" w14:textId="77777777" w:rsidR="009B77DE" w:rsidRPr="009B77DE" w:rsidRDefault="009B77DE" w:rsidP="009B77DE">
            <w:pPr>
              <w:autoSpaceDE w:val="0"/>
              <w:autoSpaceDN w:val="0"/>
              <w:adjustRightInd w:val="0"/>
              <w:rPr>
                <w:rFonts w:cstheme="minorHAnsi"/>
              </w:rPr>
            </w:pPr>
            <w:r w:rsidRPr="009B77DE">
              <w:rPr>
                <w:rFonts w:cstheme="minorHAnsi"/>
              </w:rPr>
              <w:t xml:space="preserve">Evidence that the drainage system has been designed (unless an area is designated to hold and/or convey water as part of the design) so that flooding does not occur during a 1 in </w:t>
            </w:r>
            <w:proofErr w:type="gramStart"/>
            <w:r w:rsidRPr="009B77DE">
              <w:rPr>
                <w:rFonts w:cstheme="minorHAnsi"/>
              </w:rPr>
              <w:t>100 year</w:t>
            </w:r>
            <w:proofErr w:type="gramEnd"/>
            <w:r w:rsidRPr="009B77DE">
              <w:rPr>
                <w:rFonts w:cstheme="minorHAnsi"/>
              </w:rPr>
              <w:t xml:space="preserve"> rainfall event with allowance for 40% climate change in any part of a building. This shall include surcharged outfall considerations where applicable.</w:t>
            </w:r>
          </w:p>
          <w:p w14:paraId="65CF2469" w14:textId="77777777" w:rsidR="00AE7BCA" w:rsidRDefault="00AE7BCA" w:rsidP="00AE7BCA"/>
        </w:tc>
        <w:tc>
          <w:tcPr>
            <w:tcW w:w="0" w:type="auto"/>
            <w:shd w:val="clear" w:color="auto" w:fill="DEEAF6" w:themeFill="accent5" w:themeFillTint="33"/>
          </w:tcPr>
          <w:p w14:paraId="023D2DF7" w14:textId="51A07334" w:rsidR="00AE7BCA" w:rsidRDefault="00AE7BCA" w:rsidP="00AE7BCA">
            <w:r>
              <w:t>Y</w:t>
            </w:r>
          </w:p>
        </w:tc>
        <w:tc>
          <w:tcPr>
            <w:tcW w:w="0" w:type="auto"/>
            <w:shd w:val="clear" w:color="auto" w:fill="FFF2CC" w:themeFill="accent4" w:themeFillTint="33"/>
          </w:tcPr>
          <w:p w14:paraId="56B4C961" w14:textId="65F63B52" w:rsidR="00AE7BCA" w:rsidRDefault="00AE7BCA" w:rsidP="00AE7BCA">
            <w:r>
              <w:t>N</w:t>
            </w:r>
          </w:p>
        </w:tc>
        <w:tc>
          <w:tcPr>
            <w:tcW w:w="0" w:type="auto"/>
          </w:tcPr>
          <w:p w14:paraId="75E509A1" w14:textId="543AE006" w:rsidR="009E1255" w:rsidRDefault="009E1255" w:rsidP="00AF1CE2">
            <w:r>
              <w:t>The following is required:</w:t>
            </w:r>
          </w:p>
          <w:p w14:paraId="4C1194C6" w14:textId="0FCA0552" w:rsidR="009E1255" w:rsidRDefault="009E1255" w:rsidP="009E1255">
            <w:pPr>
              <w:pStyle w:val="ListParagraph"/>
              <w:numPr>
                <w:ilvl w:val="0"/>
                <w:numId w:val="3"/>
              </w:numPr>
            </w:pPr>
            <w:r>
              <w:t xml:space="preserve">Please clarify how the predicted </w:t>
            </w:r>
            <w:r w:rsidR="00E1046E">
              <w:t>&lt;</w:t>
            </w:r>
            <w:r>
              <w:t>5mm flood depth across the basement car park will be drained. What are the “existing outlets</w:t>
            </w:r>
            <w:proofErr w:type="gramStart"/>
            <w:r w:rsidR="00E1046E">
              <w:t>”</w:t>
            </w:r>
            <w:proofErr w:type="gramEnd"/>
            <w:r>
              <w:t xml:space="preserve"> and will these be equipped with non-return valves?</w:t>
            </w:r>
          </w:p>
          <w:p w14:paraId="49037724" w14:textId="36DA6B01" w:rsidR="00D1100A" w:rsidRPr="00D1100A" w:rsidRDefault="00D1100A" w:rsidP="00D1100A">
            <w:pPr>
              <w:pStyle w:val="ListParagraph"/>
              <w:rPr>
                <w:color w:val="FF0000"/>
              </w:rPr>
            </w:pPr>
            <w:r w:rsidRPr="00D1100A">
              <w:rPr>
                <w:color w:val="FF0000"/>
              </w:rPr>
              <w:t>Openings are proposed to the concrete upstand to perimeter of basement car park, running parallel to the rive</w:t>
            </w:r>
            <w:r w:rsidR="002F4392">
              <w:rPr>
                <w:color w:val="FF0000"/>
              </w:rPr>
              <w:t>r</w:t>
            </w:r>
            <w:r w:rsidRPr="00D1100A">
              <w:rPr>
                <w:color w:val="FF0000"/>
              </w:rPr>
              <w:t xml:space="preserve"> wall. Any</w:t>
            </w:r>
            <w:r>
              <w:rPr>
                <w:color w:val="FF0000"/>
              </w:rPr>
              <w:t xml:space="preserve"> marginal</w:t>
            </w:r>
            <w:r w:rsidRPr="00D1100A">
              <w:rPr>
                <w:color w:val="FF0000"/>
              </w:rPr>
              <w:t xml:space="preserve"> flooding in the basement will be manually brushed to gully points and opening in concrete upstand and will discharge to the surface </w:t>
            </w:r>
            <w:r w:rsidRPr="00D1100A">
              <w:rPr>
                <w:color w:val="FF0000"/>
              </w:rPr>
              <w:lastRenderedPageBreak/>
              <w:t xml:space="preserve">water network via channel drain running between existing river wall and proposed concrete upstand. </w:t>
            </w:r>
          </w:p>
          <w:p w14:paraId="0A9EDBFA" w14:textId="0FE0A5BA" w:rsidR="009E1255" w:rsidRDefault="009E1255" w:rsidP="009E1255">
            <w:pPr>
              <w:pStyle w:val="ListParagraph"/>
              <w:numPr>
                <w:ilvl w:val="0"/>
                <w:numId w:val="3"/>
              </w:numPr>
            </w:pPr>
            <w:r>
              <w:t>The hydraulic calculations predict flooding from manhole S3.00 – is this manhole located within the basement car park or are overland flows from this manhole stated to runoff into the basement car park? If it is the latter, this should be illustrated on the overland flows plan.</w:t>
            </w:r>
          </w:p>
          <w:p w14:paraId="679AE74D" w14:textId="515B4E5F" w:rsidR="00D1100A" w:rsidRPr="00D1100A" w:rsidRDefault="00D1100A" w:rsidP="00D1100A">
            <w:pPr>
              <w:pStyle w:val="ListParagraph"/>
              <w:rPr>
                <w:color w:val="FF0000"/>
              </w:rPr>
            </w:pPr>
            <w:r>
              <w:rPr>
                <w:color w:val="FF0000"/>
              </w:rPr>
              <w:t xml:space="preserve">Note: Manhole S3 is outside the footprint of the basement. </w:t>
            </w:r>
            <w:r w:rsidRPr="00D1100A">
              <w:rPr>
                <w:color w:val="FF0000"/>
              </w:rPr>
              <w:t xml:space="preserve">Based on revised drainage layout, and detailed hydraulic model, this notional flood event does not occur. </w:t>
            </w:r>
            <w:r>
              <w:rPr>
                <w:color w:val="FF0000"/>
              </w:rPr>
              <w:t>Drainage Technical note (</w:t>
            </w:r>
            <w:r w:rsidR="002F4392" w:rsidRPr="002F4392">
              <w:rPr>
                <w:color w:val="0070C0"/>
              </w:rPr>
              <w:t>REN-REN-00-ZZ-RP-C-00010_P02</w:t>
            </w:r>
            <w:r w:rsidR="002F4392">
              <w:rPr>
                <w:color w:val="0070C0"/>
              </w:rPr>
              <w:t xml:space="preserve">) </w:t>
            </w:r>
            <w:r>
              <w:rPr>
                <w:color w:val="FF0000"/>
              </w:rPr>
              <w:t xml:space="preserve">has been revised to capture this. </w:t>
            </w:r>
          </w:p>
          <w:p w14:paraId="3FBA4052" w14:textId="2E11E6C9" w:rsidR="00E1046E" w:rsidRPr="009E1255" w:rsidRDefault="00E1046E" w:rsidP="00E1046E">
            <w:pPr>
              <w:pStyle w:val="ListParagraph"/>
              <w:numPr>
                <w:ilvl w:val="0"/>
                <w:numId w:val="3"/>
              </w:numPr>
            </w:pPr>
            <w:r>
              <w:t>Please clarify the statement “</w:t>
            </w:r>
            <w:r w:rsidRPr="00E1046E">
              <w:rPr>
                <w:i/>
                <w:iCs/>
              </w:rPr>
              <w:t>0.118m</w:t>
            </w:r>
            <w:r w:rsidRPr="00E1046E">
              <w:rPr>
                <w:i/>
                <w:iCs/>
                <w:vertAlign w:val="superscript"/>
              </w:rPr>
              <w:t>3</w:t>
            </w:r>
            <w:r w:rsidRPr="00E1046E">
              <w:rPr>
                <w:i/>
                <w:iCs/>
              </w:rPr>
              <w:t xml:space="preserve"> of flooding in the basement car park for the in the surcharged scenario, however, this is localised to the car park at B2 level only</w:t>
            </w:r>
            <w:r>
              <w:t>” as only a predicted flood volume of 0.356m</w:t>
            </w:r>
            <w:r w:rsidRPr="00E1046E">
              <w:rPr>
                <w:vertAlign w:val="superscript"/>
              </w:rPr>
              <w:t>3</w:t>
            </w:r>
            <w:r>
              <w:t xml:space="preserve"> is shown in the hydraulic calculations.</w:t>
            </w:r>
            <w:r w:rsidR="00D1100A">
              <w:t xml:space="preserve"> </w:t>
            </w:r>
            <w:r w:rsidR="00D1100A" w:rsidRPr="00D1100A">
              <w:rPr>
                <w:color w:val="FF0000"/>
              </w:rPr>
              <w:t>As above</w:t>
            </w:r>
            <w:r w:rsidR="00D1100A">
              <w:rPr>
                <w:color w:val="FF0000"/>
              </w:rPr>
              <w:t xml:space="preserve">. </w:t>
            </w:r>
          </w:p>
          <w:p w14:paraId="709E6407" w14:textId="77777777" w:rsidR="00AE7BCA" w:rsidRDefault="00AE7BCA" w:rsidP="00AE7BCA"/>
        </w:tc>
      </w:tr>
      <w:tr w:rsidR="00D1100A" w14:paraId="007CA251" w14:textId="77777777" w:rsidTr="00E1046E">
        <w:tc>
          <w:tcPr>
            <w:tcW w:w="0" w:type="auto"/>
          </w:tcPr>
          <w:p w14:paraId="7D1CB27A" w14:textId="7AC15268" w:rsidR="00AE7BCA" w:rsidRPr="009B77DE" w:rsidRDefault="009B77DE" w:rsidP="009B77DE">
            <w:pPr>
              <w:autoSpaceDE w:val="0"/>
              <w:autoSpaceDN w:val="0"/>
              <w:adjustRightInd w:val="0"/>
              <w:rPr>
                <w:rFonts w:cstheme="minorHAnsi"/>
              </w:rPr>
            </w:pPr>
            <w:r w:rsidRPr="009B77DE">
              <w:rPr>
                <w:rFonts w:cstheme="minorHAnsi"/>
              </w:rPr>
              <w:lastRenderedPageBreak/>
              <w:t xml:space="preserve">Assessment of overland flow routes for extreme events that is diverted away from buildings (including basements). Overland flow routes need to be designed to convey the flood water in a safe manner in the event of a blockage or exceedance of the proposed drainage system capacity including inlet structures. A layout with overland flow routes needs to be presented with appreciation of these overland flow routes with regards to the properties on site and adjacent properties off site. </w:t>
            </w:r>
          </w:p>
        </w:tc>
        <w:tc>
          <w:tcPr>
            <w:tcW w:w="0" w:type="auto"/>
            <w:shd w:val="clear" w:color="auto" w:fill="DEEAF6" w:themeFill="accent5" w:themeFillTint="33"/>
          </w:tcPr>
          <w:p w14:paraId="5976369F" w14:textId="5E964BED" w:rsidR="00AE7BCA" w:rsidRDefault="00AE7BCA" w:rsidP="00AE7BCA">
            <w:r>
              <w:t>Y</w:t>
            </w:r>
          </w:p>
        </w:tc>
        <w:tc>
          <w:tcPr>
            <w:tcW w:w="0" w:type="auto"/>
            <w:shd w:val="clear" w:color="auto" w:fill="FFF2CC" w:themeFill="accent4" w:themeFillTint="33"/>
          </w:tcPr>
          <w:p w14:paraId="50F7F90A" w14:textId="314855DF" w:rsidR="00AE7BCA" w:rsidRDefault="009E1255" w:rsidP="00AE7BCA">
            <w:r>
              <w:t>N</w:t>
            </w:r>
          </w:p>
        </w:tc>
        <w:tc>
          <w:tcPr>
            <w:tcW w:w="0" w:type="auto"/>
          </w:tcPr>
          <w:p w14:paraId="084AACB7" w14:textId="77777777" w:rsidR="009E1255" w:rsidRDefault="009E1255" w:rsidP="009E1255">
            <w:r>
              <w:t>The following is required:</w:t>
            </w:r>
          </w:p>
          <w:p w14:paraId="641BA1C3" w14:textId="17F5EC6D" w:rsidR="009E1255" w:rsidRPr="009E1255" w:rsidRDefault="009E1255" w:rsidP="009E1255">
            <w:pPr>
              <w:pStyle w:val="ListParagraph"/>
              <w:numPr>
                <w:ilvl w:val="0"/>
                <w:numId w:val="3"/>
              </w:numPr>
            </w:pPr>
            <w:r>
              <w:t>The hydraulic calculations predict flooding from manhole S3.00 – is this manhole located within the basement car park or are overland flows from this manhole stated to runoff into the basement car park? If it is the latter, this should be illustrated on the overland flows plan.</w:t>
            </w:r>
            <w:r w:rsidR="000C11B5">
              <w:t xml:space="preserve"> </w:t>
            </w:r>
            <w:r w:rsidR="000C11B5">
              <w:br/>
            </w:r>
            <w:r w:rsidR="000C11B5" w:rsidRPr="000C11B5">
              <w:rPr>
                <w:color w:val="FF0000"/>
              </w:rPr>
              <w:t>Runoff discharged through channel drain and existing outlets in river wall, as indicated on current overland flow route plan ref: REN-REN-BB-B2-DR-C-00070</w:t>
            </w:r>
          </w:p>
          <w:p w14:paraId="5419E540" w14:textId="5C75276B" w:rsidR="00746ED5" w:rsidRPr="009E1255" w:rsidRDefault="00746ED5" w:rsidP="00AF1CE2"/>
        </w:tc>
      </w:tr>
      <w:tr w:rsidR="00D1100A" w14:paraId="374636CC" w14:textId="77777777" w:rsidTr="00E1046E">
        <w:tc>
          <w:tcPr>
            <w:tcW w:w="0" w:type="auto"/>
          </w:tcPr>
          <w:p w14:paraId="486BBDA4" w14:textId="00A20C53" w:rsidR="00AE7BCA" w:rsidRPr="009B77DE" w:rsidRDefault="009B77DE" w:rsidP="009B77DE">
            <w:pPr>
              <w:autoSpaceDE w:val="0"/>
              <w:autoSpaceDN w:val="0"/>
              <w:adjustRightInd w:val="0"/>
              <w:rPr>
                <w:rFonts w:cstheme="minorHAnsi"/>
              </w:rPr>
            </w:pPr>
            <w:r w:rsidRPr="009B77DE">
              <w:rPr>
                <w:rFonts w:cstheme="minorHAnsi"/>
              </w:rPr>
              <w:lastRenderedPageBreak/>
              <w:t>Where surface water is connected to the River Irwell, agreement in principle from Peel is required. An email of acceptance of proposed flows and/or new connection will suffice.</w:t>
            </w:r>
          </w:p>
        </w:tc>
        <w:tc>
          <w:tcPr>
            <w:tcW w:w="0" w:type="auto"/>
            <w:shd w:val="clear" w:color="auto" w:fill="DEEAF6" w:themeFill="accent5" w:themeFillTint="33"/>
          </w:tcPr>
          <w:p w14:paraId="382EBDAC" w14:textId="73794440" w:rsidR="00AE7BCA" w:rsidRDefault="00AE7BCA" w:rsidP="00AE7BCA">
            <w:r>
              <w:t>Y</w:t>
            </w:r>
          </w:p>
        </w:tc>
        <w:tc>
          <w:tcPr>
            <w:tcW w:w="0" w:type="auto"/>
            <w:shd w:val="clear" w:color="auto" w:fill="FFF2CC" w:themeFill="accent4" w:themeFillTint="33"/>
          </w:tcPr>
          <w:p w14:paraId="6857099A" w14:textId="5B09D12A" w:rsidR="00AE7BCA" w:rsidRDefault="00AE7BCA" w:rsidP="00AE7BCA">
            <w:r>
              <w:t>Y</w:t>
            </w:r>
          </w:p>
        </w:tc>
        <w:tc>
          <w:tcPr>
            <w:tcW w:w="0" w:type="auto"/>
          </w:tcPr>
          <w:p w14:paraId="6E185A1F" w14:textId="77777777" w:rsidR="00AE7BCA" w:rsidRDefault="00AE7BCA" w:rsidP="00AE7BCA"/>
        </w:tc>
      </w:tr>
      <w:tr w:rsidR="00D1100A" w14:paraId="3278CC2F" w14:textId="77777777" w:rsidTr="00E1046E">
        <w:tc>
          <w:tcPr>
            <w:tcW w:w="0" w:type="auto"/>
          </w:tcPr>
          <w:p w14:paraId="6518B03E" w14:textId="0E9FED21" w:rsidR="009B77DE" w:rsidRPr="009B77DE" w:rsidRDefault="009B77DE" w:rsidP="009B77DE">
            <w:pPr>
              <w:autoSpaceDE w:val="0"/>
              <w:autoSpaceDN w:val="0"/>
              <w:adjustRightInd w:val="0"/>
              <w:rPr>
                <w:rFonts w:cstheme="minorHAnsi"/>
              </w:rPr>
            </w:pPr>
            <w:r w:rsidRPr="009B77DE">
              <w:rPr>
                <w:rFonts w:cstheme="minorHAnsi"/>
              </w:rPr>
              <w:t xml:space="preserve">For sites where proposed development would cause unusual pollution risk to surface water (large car park areas (&gt;50 parking spaces) or industrial estates), evidence of pollution control measures (preferably through SuDS) is required. </w:t>
            </w:r>
          </w:p>
        </w:tc>
        <w:tc>
          <w:tcPr>
            <w:tcW w:w="0" w:type="auto"/>
            <w:shd w:val="clear" w:color="auto" w:fill="DEEAF6" w:themeFill="accent5" w:themeFillTint="33"/>
          </w:tcPr>
          <w:p w14:paraId="7F2E272A" w14:textId="607689C5" w:rsidR="009B77DE" w:rsidRDefault="00711436" w:rsidP="00AE7BCA">
            <w:r>
              <w:t>Y</w:t>
            </w:r>
          </w:p>
        </w:tc>
        <w:tc>
          <w:tcPr>
            <w:tcW w:w="0" w:type="auto"/>
            <w:shd w:val="clear" w:color="auto" w:fill="FFF2CC" w:themeFill="accent4" w:themeFillTint="33"/>
          </w:tcPr>
          <w:p w14:paraId="28A184FF" w14:textId="3E903C3C" w:rsidR="009B77DE" w:rsidRDefault="00711436" w:rsidP="00AE7BCA">
            <w:r>
              <w:t>Y</w:t>
            </w:r>
          </w:p>
        </w:tc>
        <w:tc>
          <w:tcPr>
            <w:tcW w:w="0" w:type="auto"/>
          </w:tcPr>
          <w:p w14:paraId="57780586" w14:textId="77777777" w:rsidR="009B77DE" w:rsidRDefault="009B77DE" w:rsidP="00AE7BCA"/>
        </w:tc>
      </w:tr>
      <w:tr w:rsidR="00D1100A" w14:paraId="68BB78B8" w14:textId="77777777" w:rsidTr="00E1046E">
        <w:tc>
          <w:tcPr>
            <w:tcW w:w="0" w:type="auto"/>
          </w:tcPr>
          <w:p w14:paraId="7A4FDE07" w14:textId="77777777" w:rsidR="009B77DE" w:rsidRPr="009B77DE" w:rsidRDefault="009B77DE" w:rsidP="009B77DE">
            <w:pPr>
              <w:autoSpaceDE w:val="0"/>
              <w:autoSpaceDN w:val="0"/>
              <w:adjustRightInd w:val="0"/>
              <w:rPr>
                <w:rFonts w:cstheme="minorHAnsi"/>
              </w:rPr>
            </w:pPr>
            <w:r w:rsidRPr="009B77DE">
              <w:rPr>
                <w:rFonts w:cstheme="minorHAnsi"/>
              </w:rPr>
              <w:t>Where an application is part of a larger site which already has planning permission it is essential that the new proposal does not compromise the drainage scheme already approved.</w:t>
            </w:r>
          </w:p>
          <w:p w14:paraId="398E410D" w14:textId="77777777" w:rsidR="009B77DE" w:rsidRPr="009B77DE" w:rsidRDefault="009B77DE" w:rsidP="009B77DE">
            <w:pPr>
              <w:autoSpaceDE w:val="0"/>
              <w:autoSpaceDN w:val="0"/>
              <w:adjustRightInd w:val="0"/>
              <w:rPr>
                <w:rFonts w:cstheme="minorHAnsi"/>
              </w:rPr>
            </w:pPr>
          </w:p>
        </w:tc>
        <w:tc>
          <w:tcPr>
            <w:tcW w:w="0" w:type="auto"/>
            <w:shd w:val="clear" w:color="auto" w:fill="DEEAF6" w:themeFill="accent5" w:themeFillTint="33"/>
          </w:tcPr>
          <w:p w14:paraId="216256D5" w14:textId="2B50EFFA" w:rsidR="009B77DE" w:rsidRDefault="004F2E99" w:rsidP="00AE7BCA">
            <w:r>
              <w:t>Y</w:t>
            </w:r>
          </w:p>
        </w:tc>
        <w:tc>
          <w:tcPr>
            <w:tcW w:w="0" w:type="auto"/>
            <w:shd w:val="clear" w:color="auto" w:fill="FFF2CC" w:themeFill="accent4" w:themeFillTint="33"/>
          </w:tcPr>
          <w:p w14:paraId="54A9EB51" w14:textId="5B131C04" w:rsidR="009B77DE" w:rsidRDefault="004F2E99" w:rsidP="00AE7BCA">
            <w:r>
              <w:t>Y</w:t>
            </w:r>
          </w:p>
        </w:tc>
        <w:tc>
          <w:tcPr>
            <w:tcW w:w="0" w:type="auto"/>
          </w:tcPr>
          <w:p w14:paraId="15B55646" w14:textId="1C2DFD08" w:rsidR="009B77DE" w:rsidRDefault="004F2E99" w:rsidP="00AE7BCA">
            <w:r w:rsidRPr="004F2E99">
              <w:t>The</w:t>
            </w:r>
            <w:r>
              <w:t xml:space="preserve"> applicant has confirmed that “the</w:t>
            </w:r>
            <w:r w:rsidRPr="004F2E99">
              <w:t xml:space="preserve"> proposed Drainage networks function independently to the Phase 1 networks and only drains the area within the proposed drained areas plan</w:t>
            </w:r>
            <w:r>
              <w:t>.”</w:t>
            </w:r>
          </w:p>
        </w:tc>
      </w:tr>
      <w:tr w:rsidR="00D1100A" w14:paraId="43BE493E" w14:textId="77777777" w:rsidTr="00E1046E">
        <w:tc>
          <w:tcPr>
            <w:tcW w:w="0" w:type="auto"/>
          </w:tcPr>
          <w:p w14:paraId="764B95D4" w14:textId="77777777" w:rsidR="009B77DE" w:rsidRPr="009B77DE" w:rsidRDefault="009B77DE" w:rsidP="009B77DE">
            <w:pPr>
              <w:autoSpaceDE w:val="0"/>
              <w:autoSpaceDN w:val="0"/>
              <w:adjustRightInd w:val="0"/>
              <w:rPr>
                <w:rFonts w:cstheme="minorHAnsi"/>
              </w:rPr>
            </w:pPr>
            <w:r w:rsidRPr="009B77DE">
              <w:rPr>
                <w:rFonts w:cstheme="minorHAnsi"/>
              </w:rPr>
              <w:t xml:space="preserve">Hydraulic calculation of the proposed drainage </w:t>
            </w:r>
            <w:proofErr w:type="gramStart"/>
            <w:r w:rsidRPr="009B77DE">
              <w:rPr>
                <w:rFonts w:cstheme="minorHAnsi"/>
              </w:rPr>
              <w:t>system;</w:t>
            </w:r>
            <w:proofErr w:type="gramEnd"/>
            <w:r w:rsidRPr="009B77DE">
              <w:rPr>
                <w:rFonts w:cstheme="minorHAnsi"/>
              </w:rPr>
              <w:t xml:space="preserve"> </w:t>
            </w:r>
          </w:p>
          <w:p w14:paraId="4E583E87" w14:textId="77777777" w:rsidR="009B77DE" w:rsidRPr="009B77DE" w:rsidRDefault="009B77DE" w:rsidP="009B77DE">
            <w:pPr>
              <w:autoSpaceDE w:val="0"/>
              <w:autoSpaceDN w:val="0"/>
              <w:adjustRightInd w:val="0"/>
              <w:rPr>
                <w:rFonts w:cstheme="minorHAnsi"/>
              </w:rPr>
            </w:pPr>
          </w:p>
        </w:tc>
        <w:tc>
          <w:tcPr>
            <w:tcW w:w="0" w:type="auto"/>
            <w:shd w:val="clear" w:color="auto" w:fill="DEEAF6" w:themeFill="accent5" w:themeFillTint="33"/>
          </w:tcPr>
          <w:p w14:paraId="2A63B124" w14:textId="0726A943" w:rsidR="009B77DE" w:rsidRDefault="004F2E99" w:rsidP="00AE7BCA">
            <w:r>
              <w:t>Y</w:t>
            </w:r>
          </w:p>
        </w:tc>
        <w:tc>
          <w:tcPr>
            <w:tcW w:w="0" w:type="auto"/>
            <w:shd w:val="clear" w:color="auto" w:fill="FFF2CC" w:themeFill="accent4" w:themeFillTint="33"/>
          </w:tcPr>
          <w:p w14:paraId="4D8F69C0" w14:textId="1B15C476" w:rsidR="009B77DE" w:rsidRDefault="00E1046E" w:rsidP="00AE7BCA">
            <w:r>
              <w:t>Y</w:t>
            </w:r>
          </w:p>
        </w:tc>
        <w:tc>
          <w:tcPr>
            <w:tcW w:w="0" w:type="auto"/>
          </w:tcPr>
          <w:p w14:paraId="11D8C305" w14:textId="77777777" w:rsidR="009B77DE" w:rsidRDefault="009B77DE" w:rsidP="00AE7BCA"/>
        </w:tc>
      </w:tr>
      <w:tr w:rsidR="00D1100A" w14:paraId="7051539D" w14:textId="77777777" w:rsidTr="00E1046E">
        <w:tc>
          <w:tcPr>
            <w:tcW w:w="0" w:type="auto"/>
          </w:tcPr>
          <w:p w14:paraId="74031B14" w14:textId="7074F31D" w:rsidR="009B77DE" w:rsidRPr="009B77DE" w:rsidRDefault="009B77DE" w:rsidP="009B77DE">
            <w:pPr>
              <w:autoSpaceDE w:val="0"/>
              <w:autoSpaceDN w:val="0"/>
              <w:adjustRightInd w:val="0"/>
              <w:rPr>
                <w:rFonts w:cstheme="minorHAnsi"/>
              </w:rPr>
            </w:pPr>
            <w:r w:rsidRPr="009B77DE">
              <w:rPr>
                <w:rFonts w:cstheme="minorHAnsi"/>
              </w:rPr>
              <w:t>Construction details of flow control and SuDS elements.</w:t>
            </w:r>
          </w:p>
        </w:tc>
        <w:tc>
          <w:tcPr>
            <w:tcW w:w="0" w:type="auto"/>
            <w:shd w:val="clear" w:color="auto" w:fill="DEEAF6" w:themeFill="accent5" w:themeFillTint="33"/>
          </w:tcPr>
          <w:p w14:paraId="3632BB36" w14:textId="713820B7" w:rsidR="009B77DE" w:rsidRDefault="004F2E99" w:rsidP="00AE7BCA">
            <w:r>
              <w:t>Y</w:t>
            </w:r>
          </w:p>
        </w:tc>
        <w:tc>
          <w:tcPr>
            <w:tcW w:w="0" w:type="auto"/>
            <w:shd w:val="clear" w:color="auto" w:fill="FFF2CC" w:themeFill="accent4" w:themeFillTint="33"/>
          </w:tcPr>
          <w:p w14:paraId="5344E4A7" w14:textId="23EDA7C1" w:rsidR="009B77DE" w:rsidRDefault="001A6DD0" w:rsidP="00AE7BCA">
            <w:r>
              <w:t>Y</w:t>
            </w:r>
          </w:p>
        </w:tc>
        <w:tc>
          <w:tcPr>
            <w:tcW w:w="0" w:type="auto"/>
          </w:tcPr>
          <w:p w14:paraId="1504B2F0" w14:textId="77777777" w:rsidR="009B77DE" w:rsidRDefault="009B77DE" w:rsidP="00AE7BCA"/>
        </w:tc>
      </w:tr>
    </w:tbl>
    <w:p w14:paraId="5CDE40B2" w14:textId="77777777" w:rsidR="00C94C8E" w:rsidRDefault="00C94C8E" w:rsidP="00C94C8E"/>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6"/>
      </w:tblGrid>
      <w:tr w:rsidR="00C94C8E" w:rsidRPr="008C2A14" w14:paraId="652D1C07" w14:textId="77777777" w:rsidTr="0065624C">
        <w:tc>
          <w:tcPr>
            <w:tcW w:w="4106" w:type="dxa"/>
          </w:tcPr>
          <w:p w14:paraId="16902F7F" w14:textId="1C123D9B" w:rsidR="00C94C8E" w:rsidRPr="008C2A14" w:rsidRDefault="00093568" w:rsidP="00A24129">
            <w:pPr>
              <w:spacing w:line="259" w:lineRule="auto"/>
            </w:pPr>
            <w:r>
              <w:t xml:space="preserve">% </w:t>
            </w:r>
            <w:r w:rsidR="00586665">
              <w:t>C</w:t>
            </w:r>
            <w:r w:rsidR="00CE0194">
              <w:t>omplete</w:t>
            </w:r>
            <w:r>
              <w:t xml:space="preserve"> submission</w:t>
            </w:r>
            <w:r w:rsidR="00CE0194">
              <w:t>:</w:t>
            </w:r>
          </w:p>
        </w:tc>
        <w:tc>
          <w:tcPr>
            <w:tcW w:w="1276" w:type="dxa"/>
            <w:shd w:val="clear" w:color="auto" w:fill="DEEAF6" w:themeFill="accent5" w:themeFillTint="33"/>
          </w:tcPr>
          <w:p w14:paraId="347AC6E5" w14:textId="2B72349B" w:rsidR="00C94C8E" w:rsidRPr="008C2A14" w:rsidRDefault="001A6DD0" w:rsidP="00E73262">
            <w:r>
              <w:t>100</w:t>
            </w:r>
            <w:r w:rsidR="00C94C8E" w:rsidRPr="008C2A14">
              <w:t>%</w:t>
            </w:r>
          </w:p>
        </w:tc>
      </w:tr>
      <w:tr w:rsidR="008A5A69" w:rsidRPr="008C2A14" w14:paraId="7592075F" w14:textId="77777777" w:rsidTr="008A5A69">
        <w:tc>
          <w:tcPr>
            <w:tcW w:w="4106" w:type="dxa"/>
          </w:tcPr>
          <w:p w14:paraId="307D01E0" w14:textId="02D226E6" w:rsidR="00B07642" w:rsidRDefault="008A5A69" w:rsidP="00093568">
            <w:r>
              <w:t xml:space="preserve">% </w:t>
            </w:r>
            <w:r w:rsidR="00586665">
              <w:t>At a</w:t>
            </w:r>
            <w:r>
              <w:t>pprovable standard</w:t>
            </w:r>
            <w:r w:rsidR="00586665">
              <w:t>:</w:t>
            </w:r>
          </w:p>
        </w:tc>
        <w:tc>
          <w:tcPr>
            <w:tcW w:w="1276" w:type="dxa"/>
            <w:shd w:val="clear" w:color="auto" w:fill="FFF2CC" w:themeFill="accent4" w:themeFillTint="33"/>
          </w:tcPr>
          <w:p w14:paraId="46BDAC91" w14:textId="77AE04F4" w:rsidR="008A5A69" w:rsidRDefault="004961C5" w:rsidP="00E73262">
            <w:r>
              <w:t>82</w:t>
            </w:r>
            <w:r w:rsidR="008A5A69">
              <w:t>%</w:t>
            </w:r>
          </w:p>
        </w:tc>
      </w:tr>
      <w:tr w:rsidR="002A5487" w:rsidRPr="008C2A14" w14:paraId="4D631AA9" w14:textId="77777777" w:rsidTr="008A5A69">
        <w:trPr>
          <w:gridAfter w:val="1"/>
          <w:wAfter w:w="1276" w:type="dxa"/>
        </w:trPr>
        <w:tc>
          <w:tcPr>
            <w:tcW w:w="4106" w:type="dxa"/>
          </w:tcPr>
          <w:p w14:paraId="253626A7" w14:textId="77777777" w:rsidR="002A5487" w:rsidRPr="00F53B0E" w:rsidRDefault="002A5487" w:rsidP="002A5487">
            <w:pPr>
              <w:rPr>
                <w:sz w:val="20"/>
                <w:szCs w:val="20"/>
              </w:rPr>
            </w:pPr>
            <w:r w:rsidRPr="00F53B0E">
              <w:rPr>
                <w:sz w:val="20"/>
                <w:szCs w:val="20"/>
              </w:rPr>
              <w:t xml:space="preserve">Refusal trigger points: </w:t>
            </w:r>
          </w:p>
          <w:p w14:paraId="29759C27" w14:textId="77777777" w:rsidR="002A5487" w:rsidRPr="00F53B0E" w:rsidRDefault="002A5487" w:rsidP="002A5487">
            <w:pPr>
              <w:rPr>
                <w:sz w:val="20"/>
                <w:szCs w:val="20"/>
              </w:rPr>
            </w:pPr>
            <w:r w:rsidRPr="00F53B0E">
              <w:rPr>
                <w:sz w:val="20"/>
                <w:szCs w:val="20"/>
              </w:rPr>
              <w:t>Submission 1 = less than 20% complete.</w:t>
            </w:r>
          </w:p>
          <w:p w14:paraId="06393BED" w14:textId="51E1E616" w:rsidR="002A5487" w:rsidRDefault="002A5487" w:rsidP="002A5487">
            <w:r w:rsidRPr="00F53B0E">
              <w:rPr>
                <w:sz w:val="20"/>
                <w:szCs w:val="20"/>
              </w:rPr>
              <w:t xml:space="preserve">Submission 2 </w:t>
            </w:r>
            <w:r w:rsidR="00F53B0E" w:rsidRPr="00F53B0E">
              <w:rPr>
                <w:sz w:val="20"/>
                <w:szCs w:val="20"/>
              </w:rPr>
              <w:t>= not</w:t>
            </w:r>
            <w:r w:rsidRPr="00F53B0E">
              <w:rPr>
                <w:sz w:val="20"/>
                <w:szCs w:val="20"/>
              </w:rPr>
              <w:t xml:space="preserve"> 100% approvable</w:t>
            </w:r>
            <w:r w:rsidR="00F53B0E" w:rsidRPr="00F53B0E">
              <w:rPr>
                <w:sz w:val="20"/>
                <w:szCs w:val="20"/>
              </w:rPr>
              <w:t xml:space="preserve"> standard</w:t>
            </w:r>
            <w:r w:rsidRPr="00F53B0E">
              <w:rPr>
                <w:sz w:val="20"/>
                <w:szCs w:val="20"/>
              </w:rPr>
              <w:t>.</w:t>
            </w:r>
          </w:p>
        </w:tc>
      </w:tr>
    </w:tbl>
    <w:p w14:paraId="76192FB4" w14:textId="255E141B" w:rsidR="00B07642" w:rsidRPr="008C2A14" w:rsidRDefault="00B07642" w:rsidP="00B07642"/>
    <w:tbl>
      <w:tblPr>
        <w:tblStyle w:val="TableGrid"/>
        <w:tblW w:w="0" w:type="auto"/>
        <w:tblLook w:val="04A0" w:firstRow="1" w:lastRow="0" w:firstColumn="1" w:lastColumn="0" w:noHBand="0" w:noVBand="1"/>
      </w:tblPr>
      <w:tblGrid>
        <w:gridCol w:w="2689"/>
        <w:gridCol w:w="11259"/>
      </w:tblGrid>
      <w:tr w:rsidR="00DE55AC" w14:paraId="4DF70034" w14:textId="77777777" w:rsidTr="00A27854">
        <w:tc>
          <w:tcPr>
            <w:tcW w:w="2689" w:type="dxa"/>
          </w:tcPr>
          <w:p w14:paraId="21B0A7C9" w14:textId="77777777" w:rsidR="00DE55AC" w:rsidRDefault="00DE55AC" w:rsidP="00E73262">
            <w:r>
              <w:rPr>
                <w:b/>
                <w:bCs/>
              </w:rPr>
              <w:t xml:space="preserve">LLFA </w:t>
            </w:r>
            <w:r w:rsidRPr="008C2A14">
              <w:rPr>
                <w:b/>
                <w:bCs/>
              </w:rPr>
              <w:t>Recommendation</w:t>
            </w:r>
            <w:r w:rsidRPr="008C2A14">
              <w:t>:</w:t>
            </w:r>
          </w:p>
        </w:tc>
        <w:tc>
          <w:tcPr>
            <w:tcW w:w="11259" w:type="dxa"/>
          </w:tcPr>
          <w:p w14:paraId="01E875AC" w14:textId="6466D7C3" w:rsidR="00DE55AC" w:rsidRDefault="00DE55AC" w:rsidP="00E73262">
            <w:r w:rsidRPr="00DE55AC">
              <w:rPr>
                <w:b/>
                <w:bCs/>
                <w:color w:val="0070C0"/>
              </w:rPr>
              <w:t>Further information required (as detailed above).</w:t>
            </w:r>
          </w:p>
        </w:tc>
      </w:tr>
    </w:tbl>
    <w:p w14:paraId="4BE7687E" w14:textId="77777777" w:rsidR="006A3DC2" w:rsidRDefault="006A3DC2"/>
    <w:sectPr w:rsidR="006A3DC2" w:rsidSect="008C2A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669F4" w14:textId="77777777" w:rsidR="00094435" w:rsidRDefault="00094435" w:rsidP="00094435">
      <w:pPr>
        <w:spacing w:after="0" w:line="240" w:lineRule="auto"/>
      </w:pPr>
      <w:r>
        <w:separator/>
      </w:r>
    </w:p>
  </w:endnote>
  <w:endnote w:type="continuationSeparator" w:id="0">
    <w:p w14:paraId="3BDEE844" w14:textId="77777777" w:rsidR="00094435" w:rsidRDefault="00094435" w:rsidP="0009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106125"/>
      <w:docPartObj>
        <w:docPartGallery w:val="Page Numbers (Bottom of Page)"/>
        <w:docPartUnique/>
      </w:docPartObj>
    </w:sdtPr>
    <w:sdtEndPr>
      <w:rPr>
        <w:noProof/>
      </w:rPr>
    </w:sdtEndPr>
    <w:sdtContent>
      <w:p w14:paraId="6C5A1852" w14:textId="6C48ED20" w:rsidR="0075780C" w:rsidRDefault="0075780C">
        <w:pPr>
          <w:pStyle w:val="Footer"/>
        </w:pPr>
        <w:r>
          <w:fldChar w:fldCharType="begin"/>
        </w:r>
        <w:r>
          <w:instrText xml:space="preserve"> PAGE   \* MERGEFORMAT </w:instrText>
        </w:r>
        <w:r>
          <w:fldChar w:fldCharType="separate"/>
        </w:r>
        <w:r>
          <w:rPr>
            <w:noProof/>
          </w:rPr>
          <w:t>2</w:t>
        </w:r>
        <w:r>
          <w:rPr>
            <w:noProof/>
          </w:rPr>
          <w:fldChar w:fldCharType="end"/>
        </w:r>
      </w:p>
    </w:sdtContent>
  </w:sdt>
  <w:p w14:paraId="5EE4387C" w14:textId="77777777" w:rsidR="0075780C" w:rsidRDefault="00757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33CCC" w14:textId="77777777" w:rsidR="00094435" w:rsidRDefault="00094435" w:rsidP="00094435">
      <w:pPr>
        <w:spacing w:after="0" w:line="240" w:lineRule="auto"/>
      </w:pPr>
      <w:r>
        <w:separator/>
      </w:r>
    </w:p>
  </w:footnote>
  <w:footnote w:type="continuationSeparator" w:id="0">
    <w:p w14:paraId="41B9A4D2" w14:textId="77777777" w:rsidR="00094435" w:rsidRDefault="00094435" w:rsidP="0009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C26A" w14:textId="62DE7F91" w:rsidR="00094435" w:rsidRDefault="00094435" w:rsidP="00094435">
    <w:pPr>
      <w:pStyle w:val="Header"/>
      <w:jc w:val="right"/>
    </w:pPr>
    <w:r>
      <w:t>Manchester City Council LLFA: CDN consultation</w:t>
    </w:r>
    <w:r>
      <w:tab/>
    </w:r>
    <w:r>
      <w:tab/>
    </w:r>
    <w:r>
      <w:rPr>
        <w:noProof/>
      </w:rPr>
      <w:drawing>
        <wp:inline distT="0" distB="0" distL="0" distR="0" wp14:anchorId="7BEF7C6C" wp14:editId="2D852EA0">
          <wp:extent cx="1837853" cy="403610"/>
          <wp:effectExtent l="0" t="0" r="0" b="0"/>
          <wp:docPr id="1552798985" name="Picture 155279898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76948" name="Picture 1" descr="A black and white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9010" b="31449"/>
                  <a:stretch/>
                </pic:blipFill>
                <pic:spPr bwMode="auto">
                  <a:xfrm>
                    <a:off x="0" y="0"/>
                    <a:ext cx="1881691" cy="41323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A5846"/>
    <w:multiLevelType w:val="hybridMultilevel"/>
    <w:tmpl w:val="942CD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264955"/>
    <w:multiLevelType w:val="hybridMultilevel"/>
    <w:tmpl w:val="0A1C30DA"/>
    <w:lvl w:ilvl="0" w:tplc="08C25E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EC2526"/>
    <w:multiLevelType w:val="hybridMultilevel"/>
    <w:tmpl w:val="37D06F3A"/>
    <w:lvl w:ilvl="0" w:tplc="C406AC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149706">
    <w:abstractNumId w:val="2"/>
  </w:num>
  <w:num w:numId="2" w16cid:durableId="1430202575">
    <w:abstractNumId w:val="0"/>
  </w:num>
  <w:num w:numId="3" w16cid:durableId="982546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2B"/>
    <w:rsid w:val="00003D45"/>
    <w:rsid w:val="00014EA3"/>
    <w:rsid w:val="000252C3"/>
    <w:rsid w:val="0004397D"/>
    <w:rsid w:val="000900E4"/>
    <w:rsid w:val="00093568"/>
    <w:rsid w:val="00094435"/>
    <w:rsid w:val="000A6FD3"/>
    <w:rsid w:val="000C11B5"/>
    <w:rsid w:val="0012532F"/>
    <w:rsid w:val="001A6DD0"/>
    <w:rsid w:val="001D14B0"/>
    <w:rsid w:val="001D1AFD"/>
    <w:rsid w:val="00267789"/>
    <w:rsid w:val="002733F4"/>
    <w:rsid w:val="002A2B23"/>
    <w:rsid w:val="002A5487"/>
    <w:rsid w:val="002C0685"/>
    <w:rsid w:val="002F4392"/>
    <w:rsid w:val="003420C4"/>
    <w:rsid w:val="003A25F5"/>
    <w:rsid w:val="00453EF2"/>
    <w:rsid w:val="0045525E"/>
    <w:rsid w:val="004961B8"/>
    <w:rsid w:val="004961C5"/>
    <w:rsid w:val="004A0C4B"/>
    <w:rsid w:val="004E27ED"/>
    <w:rsid w:val="004F2E99"/>
    <w:rsid w:val="00506E29"/>
    <w:rsid w:val="00586665"/>
    <w:rsid w:val="005E3830"/>
    <w:rsid w:val="005E6A10"/>
    <w:rsid w:val="0065624C"/>
    <w:rsid w:val="00666043"/>
    <w:rsid w:val="006A3DC2"/>
    <w:rsid w:val="00711436"/>
    <w:rsid w:val="00733BBA"/>
    <w:rsid w:val="00746ED5"/>
    <w:rsid w:val="0075780C"/>
    <w:rsid w:val="007768F6"/>
    <w:rsid w:val="0085198F"/>
    <w:rsid w:val="008A5A69"/>
    <w:rsid w:val="008A764C"/>
    <w:rsid w:val="008C2A14"/>
    <w:rsid w:val="008E20F1"/>
    <w:rsid w:val="008F4A4E"/>
    <w:rsid w:val="00973D5F"/>
    <w:rsid w:val="009B2DF6"/>
    <w:rsid w:val="009B77DE"/>
    <w:rsid w:val="009E1255"/>
    <w:rsid w:val="00A24129"/>
    <w:rsid w:val="00A541E5"/>
    <w:rsid w:val="00A702D6"/>
    <w:rsid w:val="00AA62BF"/>
    <w:rsid w:val="00AA78DA"/>
    <w:rsid w:val="00AB0D15"/>
    <w:rsid w:val="00AC37EE"/>
    <w:rsid w:val="00AE7BCA"/>
    <w:rsid w:val="00AF1CE2"/>
    <w:rsid w:val="00B07642"/>
    <w:rsid w:val="00B159A7"/>
    <w:rsid w:val="00B82552"/>
    <w:rsid w:val="00BD7440"/>
    <w:rsid w:val="00C03505"/>
    <w:rsid w:val="00C0799C"/>
    <w:rsid w:val="00C723DA"/>
    <w:rsid w:val="00C94C8E"/>
    <w:rsid w:val="00CB3A56"/>
    <w:rsid w:val="00CE0194"/>
    <w:rsid w:val="00D02DCA"/>
    <w:rsid w:val="00D1100A"/>
    <w:rsid w:val="00D20E5A"/>
    <w:rsid w:val="00D4216B"/>
    <w:rsid w:val="00DA11CB"/>
    <w:rsid w:val="00DE55AC"/>
    <w:rsid w:val="00E1046E"/>
    <w:rsid w:val="00E161E6"/>
    <w:rsid w:val="00EB3125"/>
    <w:rsid w:val="00EE0299"/>
    <w:rsid w:val="00EE37BE"/>
    <w:rsid w:val="00F53B0E"/>
    <w:rsid w:val="00FA4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8AB1"/>
  <w15:chartTrackingRefBased/>
  <w15:docId w15:val="{F46C989F-109A-4178-B429-C8BC5E3F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C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435"/>
  </w:style>
  <w:style w:type="paragraph" w:styleId="Footer">
    <w:name w:val="footer"/>
    <w:basedOn w:val="Normal"/>
    <w:link w:val="FooterChar"/>
    <w:uiPriority w:val="99"/>
    <w:unhideWhenUsed/>
    <w:rsid w:val="00094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435"/>
  </w:style>
  <w:style w:type="paragraph" w:styleId="ListParagraph">
    <w:name w:val="List Paragraph"/>
    <w:basedOn w:val="Normal"/>
    <w:uiPriority w:val="99"/>
    <w:qFormat/>
    <w:rsid w:val="00506E29"/>
    <w:pPr>
      <w:ind w:left="720"/>
      <w:contextualSpacing/>
    </w:pPr>
  </w:style>
  <w:style w:type="table" w:styleId="TableGrid">
    <w:name w:val="Table Grid"/>
    <w:basedOn w:val="TableNormal"/>
    <w:uiPriority w:val="39"/>
    <w:rsid w:val="00506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C2A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916</Words>
  <Characters>5060</Characters>
  <Application>Microsoft Office Word</Application>
  <DocSecurity>0</DocSecurity>
  <Lines>194</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Peacock</dc:creator>
  <cp:keywords/>
  <dc:description/>
  <cp:lastModifiedBy>Omar Garada</cp:lastModifiedBy>
  <cp:revision>4</cp:revision>
  <dcterms:created xsi:type="dcterms:W3CDTF">2025-11-24T13:27:00Z</dcterms:created>
  <dcterms:modified xsi:type="dcterms:W3CDTF">2025-11-24T16:03:00Z</dcterms:modified>
</cp:coreProperties>
</file>