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A784C" w14:textId="6F32F113" w:rsidR="009101C0" w:rsidRDefault="001B11FF">
      <w:r>
        <w:t xml:space="preserve">In relation to discharging the condition on external music, we will not be installing any outside speakers, and therefore believe we do not need to discharge this condition. </w:t>
      </w:r>
    </w:p>
    <w:sectPr w:rsidR="009101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1FF"/>
    <w:rsid w:val="001B11FF"/>
    <w:rsid w:val="005B48A2"/>
    <w:rsid w:val="006D3A1F"/>
    <w:rsid w:val="009101C0"/>
    <w:rsid w:val="00AB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5BD571"/>
  <w15:chartTrackingRefBased/>
  <w15:docId w15:val="{DB1066E5-6B9F-2E49-84BB-482BD773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1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1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1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1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1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1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1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1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1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1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1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1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1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1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1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1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1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 Mitchell</dc:creator>
  <cp:keywords/>
  <dc:description/>
  <cp:lastModifiedBy>Hannah  Mitchell</cp:lastModifiedBy>
  <cp:revision>1</cp:revision>
  <dcterms:created xsi:type="dcterms:W3CDTF">2026-01-08T16:24:00Z</dcterms:created>
  <dcterms:modified xsi:type="dcterms:W3CDTF">2026-01-08T16:25:00Z</dcterms:modified>
</cp:coreProperties>
</file>