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16F7D" w14:textId="4FD96B41" w:rsidR="00506E29" w:rsidRPr="008C2A14" w:rsidRDefault="00506E29" w:rsidP="00506E29">
      <w:pPr>
        <w:autoSpaceDE w:val="0"/>
        <w:autoSpaceDN w:val="0"/>
        <w:adjustRightInd w:val="0"/>
        <w:spacing w:after="0" w:line="240" w:lineRule="auto"/>
        <w:rPr>
          <w:rFonts w:cstheme="minorHAnsi"/>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4961B8" w:rsidRPr="008C2A14" w14:paraId="319A6B0D" w14:textId="77777777" w:rsidTr="00A541E5">
        <w:tc>
          <w:tcPr>
            <w:tcW w:w="4508" w:type="dxa"/>
          </w:tcPr>
          <w:p w14:paraId="5C4C918D" w14:textId="39908E30" w:rsidR="004961B8" w:rsidRPr="008C2A14" w:rsidRDefault="004961B8" w:rsidP="00506E29">
            <w:pPr>
              <w:autoSpaceDE w:val="0"/>
              <w:autoSpaceDN w:val="0"/>
              <w:adjustRightInd w:val="0"/>
              <w:rPr>
                <w:rFonts w:cstheme="minorHAnsi"/>
              </w:rPr>
            </w:pPr>
            <w:r w:rsidRPr="008C2A14">
              <w:rPr>
                <w:rFonts w:cstheme="minorHAnsi"/>
                <w:b/>
                <w:bCs/>
              </w:rPr>
              <w:t xml:space="preserve">Application </w:t>
            </w:r>
            <w:r w:rsidR="00B159A7" w:rsidRPr="008C2A14">
              <w:rPr>
                <w:rFonts w:cstheme="minorHAnsi"/>
                <w:b/>
                <w:bCs/>
              </w:rPr>
              <w:t>details</w:t>
            </w:r>
            <w:r w:rsidRPr="008C2A14">
              <w:rPr>
                <w:rFonts w:cstheme="minorHAnsi"/>
              </w:rPr>
              <w:t>:</w:t>
            </w:r>
          </w:p>
        </w:tc>
        <w:tc>
          <w:tcPr>
            <w:tcW w:w="4508" w:type="dxa"/>
          </w:tcPr>
          <w:p w14:paraId="0078B3E8" w14:textId="512C8DF3" w:rsidR="004961B8" w:rsidRPr="008C2A14" w:rsidRDefault="002F0048" w:rsidP="00506E29">
            <w:pPr>
              <w:autoSpaceDE w:val="0"/>
              <w:autoSpaceDN w:val="0"/>
              <w:adjustRightInd w:val="0"/>
              <w:rPr>
                <w:rFonts w:cstheme="minorHAnsi"/>
              </w:rPr>
            </w:pPr>
            <w:r w:rsidRPr="002F0048">
              <w:rPr>
                <w:rFonts w:cstheme="minorHAnsi"/>
              </w:rPr>
              <w:t xml:space="preserve">Discharge of Conditions 3 (Bats), 6a (Ground Contamination), 7a (Local Labour Agreement), 8 (CMP), 9a (Materials), 10 (Landscape), 12 (Piling), </w:t>
            </w:r>
            <w:r w:rsidRPr="002F0048">
              <w:rPr>
                <w:rFonts w:cstheme="minorHAnsi"/>
                <w:highlight w:val="yellow"/>
              </w:rPr>
              <w:t>13 (SuDS)</w:t>
            </w:r>
            <w:r w:rsidRPr="002F0048">
              <w:rPr>
                <w:rFonts w:cstheme="minorHAnsi"/>
              </w:rPr>
              <w:t xml:space="preserve"> and 14 (Drainage) attached to Planning Permission 137608/JO/2023</w:t>
            </w:r>
          </w:p>
        </w:tc>
      </w:tr>
    </w:tbl>
    <w:p w14:paraId="66E9776B" w14:textId="77777777" w:rsidR="00506E29" w:rsidRPr="008C2A14" w:rsidRDefault="00506E29" w:rsidP="004961B8">
      <w:pPr>
        <w:rPr>
          <w:b/>
          <w:bCs/>
          <w:u w:val="single"/>
        </w:rPr>
      </w:pPr>
    </w:p>
    <w:p w14:paraId="25973C18" w14:textId="5C91607C" w:rsidR="00506E29" w:rsidRPr="008C2A14" w:rsidRDefault="00506E29" w:rsidP="00506E29">
      <w:pPr>
        <w:jc w:val="center"/>
        <w:rPr>
          <w:b/>
          <w:bCs/>
          <w:u w:val="single"/>
        </w:rPr>
      </w:pPr>
      <w:r w:rsidRPr="008C2A14">
        <w:rPr>
          <w:b/>
          <w:bCs/>
          <w:u w:val="single"/>
        </w:rPr>
        <w:t xml:space="preserve">LLFA Comments </w:t>
      </w:r>
      <w:r w:rsidR="002F0048">
        <w:rPr>
          <w:b/>
          <w:bCs/>
          <w:u w:val="single"/>
        </w:rPr>
        <w:t>31/05/2024</w:t>
      </w:r>
    </w:p>
    <w:p w14:paraId="35E93C63" w14:textId="77777777" w:rsidR="00506E29" w:rsidRPr="008C2A14" w:rsidRDefault="00506E29" w:rsidP="00506E29">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506E29" w:rsidRPr="008C2A14" w14:paraId="12A201E1" w14:textId="77777777" w:rsidTr="00AA62BF">
        <w:tc>
          <w:tcPr>
            <w:tcW w:w="4248" w:type="dxa"/>
          </w:tcPr>
          <w:p w14:paraId="723F4B3B" w14:textId="35EE47AC" w:rsidR="00506E29" w:rsidRPr="008C2A14" w:rsidRDefault="00506E29" w:rsidP="00506E29">
            <w:pPr>
              <w:rPr>
                <w:b/>
                <w:bCs/>
              </w:rPr>
            </w:pPr>
            <w:r w:rsidRPr="008C2A14">
              <w:t>Planning Portal uploads:</w:t>
            </w:r>
          </w:p>
        </w:tc>
        <w:tc>
          <w:tcPr>
            <w:tcW w:w="4768" w:type="dxa"/>
          </w:tcPr>
          <w:p w14:paraId="3189534E" w14:textId="7D66F3D4" w:rsidR="00506E29" w:rsidRPr="008C2A14" w:rsidRDefault="002F0048" w:rsidP="00506E29">
            <w:r>
              <w:t>07/05/2024 – 15/05/2024</w:t>
            </w:r>
          </w:p>
          <w:p w14:paraId="013613CB" w14:textId="77777777" w:rsidR="00506E29" w:rsidRPr="008C2A14" w:rsidRDefault="00506E29" w:rsidP="00506E29">
            <w:pPr>
              <w:rPr>
                <w:b/>
                <w:bCs/>
              </w:rPr>
            </w:pPr>
          </w:p>
        </w:tc>
      </w:tr>
      <w:tr w:rsidR="00506E29" w:rsidRPr="008C2A14" w14:paraId="579DF336" w14:textId="77777777" w:rsidTr="00AA62BF">
        <w:tc>
          <w:tcPr>
            <w:tcW w:w="4248" w:type="dxa"/>
          </w:tcPr>
          <w:p w14:paraId="6C2ED1E1" w14:textId="5FDB6981" w:rsidR="00506E29" w:rsidRPr="008C2A14" w:rsidRDefault="00506E29" w:rsidP="00506E29">
            <w:pPr>
              <w:rPr>
                <w:b/>
                <w:bCs/>
              </w:rPr>
            </w:pPr>
            <w:r w:rsidRPr="008C2A14">
              <w:t>Further submission emails:</w:t>
            </w:r>
          </w:p>
        </w:tc>
        <w:tc>
          <w:tcPr>
            <w:tcW w:w="4768" w:type="dxa"/>
          </w:tcPr>
          <w:p w14:paraId="4FB1BF46" w14:textId="6411CF3E" w:rsidR="00506E29" w:rsidRPr="008C2A14" w:rsidRDefault="002F0048" w:rsidP="00506E29">
            <w:r>
              <w:t>-</w:t>
            </w:r>
          </w:p>
          <w:p w14:paraId="5B369278" w14:textId="115EB127" w:rsidR="00506E29" w:rsidRPr="008C2A14" w:rsidRDefault="00506E29" w:rsidP="00506E29"/>
        </w:tc>
      </w:tr>
      <w:tr w:rsidR="00AA62BF" w:rsidRPr="008C2A14" w14:paraId="3133E5BF" w14:textId="77777777" w:rsidTr="00AA62BF">
        <w:tc>
          <w:tcPr>
            <w:tcW w:w="4248" w:type="dxa"/>
          </w:tcPr>
          <w:p w14:paraId="3232F44F" w14:textId="7FB6C8AA" w:rsidR="00AA62BF" w:rsidRPr="008C2A14" w:rsidRDefault="00AA62BF" w:rsidP="00506E29">
            <w:r>
              <w:t>Previous CDN attempts to discharge the Condition:</w:t>
            </w:r>
          </w:p>
        </w:tc>
        <w:tc>
          <w:tcPr>
            <w:tcW w:w="4768" w:type="dxa"/>
          </w:tcPr>
          <w:p w14:paraId="67D3536A" w14:textId="1424311A" w:rsidR="00AA62BF" w:rsidRPr="008C2A14" w:rsidRDefault="002F0048" w:rsidP="00506E29">
            <w:r w:rsidRPr="002F0048">
              <w:t>CDN-24-0223</w:t>
            </w:r>
            <w:r>
              <w:t xml:space="preserve"> (phasing, condition 5)</w:t>
            </w:r>
          </w:p>
        </w:tc>
      </w:tr>
    </w:tbl>
    <w:p w14:paraId="2676E1C1" w14:textId="77777777" w:rsidR="008C2A14" w:rsidRDefault="008C2A14"/>
    <w:p w14:paraId="4A1E2EB3" w14:textId="77777777" w:rsidR="00C0799C" w:rsidRDefault="00C0799C"/>
    <w:p w14:paraId="438DE217" w14:textId="4A36EC86" w:rsidR="00C0799C" w:rsidRPr="008C2A14" w:rsidRDefault="00C0799C">
      <w:pPr>
        <w:sectPr w:rsidR="00C0799C" w:rsidRPr="008C2A14">
          <w:headerReference w:type="default" r:id="rId7"/>
          <w:footerReference w:type="default" r:id="rId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2409"/>
      </w:tblGrid>
      <w:tr w:rsidR="006A3DC2" w14:paraId="2E2B1CD7" w14:textId="77777777" w:rsidTr="006A3DC2">
        <w:tc>
          <w:tcPr>
            <w:tcW w:w="2122" w:type="dxa"/>
          </w:tcPr>
          <w:p w14:paraId="219B465E" w14:textId="45BB22E1" w:rsidR="006A3DC2" w:rsidRPr="006A3DC2" w:rsidRDefault="006A3DC2">
            <w:pPr>
              <w:rPr>
                <w:b/>
                <w:bCs/>
              </w:rPr>
            </w:pPr>
            <w:r w:rsidRPr="006A3DC2">
              <w:rPr>
                <w:b/>
                <w:bCs/>
              </w:rPr>
              <w:lastRenderedPageBreak/>
              <w:t>Condition number</w:t>
            </w:r>
          </w:p>
        </w:tc>
        <w:tc>
          <w:tcPr>
            <w:tcW w:w="2409" w:type="dxa"/>
          </w:tcPr>
          <w:p w14:paraId="5CE73D64" w14:textId="645074BA" w:rsidR="006A3DC2" w:rsidRDefault="002F0048">
            <w:r>
              <w:t>13</w:t>
            </w:r>
          </w:p>
        </w:tc>
      </w:tr>
      <w:tr w:rsidR="0085198F" w14:paraId="073DF69F" w14:textId="77777777" w:rsidTr="006A3DC2">
        <w:tc>
          <w:tcPr>
            <w:tcW w:w="2122" w:type="dxa"/>
          </w:tcPr>
          <w:p w14:paraId="6DA8C4D3" w14:textId="2DAFB219" w:rsidR="0085198F" w:rsidRPr="006A3DC2" w:rsidRDefault="0085198F">
            <w:pPr>
              <w:rPr>
                <w:b/>
                <w:bCs/>
              </w:rPr>
            </w:pPr>
            <w:r>
              <w:rPr>
                <w:b/>
                <w:bCs/>
              </w:rPr>
              <w:t>Decision Notice</w:t>
            </w:r>
          </w:p>
        </w:tc>
        <w:tc>
          <w:tcPr>
            <w:tcW w:w="2409" w:type="dxa"/>
          </w:tcPr>
          <w:p w14:paraId="7E93CD75" w14:textId="30A90194" w:rsidR="0085198F" w:rsidRDefault="002F0048">
            <w:r w:rsidRPr="002F0048">
              <w:t>137608/JO/2023</w:t>
            </w:r>
          </w:p>
        </w:tc>
      </w:tr>
    </w:tbl>
    <w:p w14:paraId="13E9E9C7" w14:textId="5B50A1BF" w:rsidR="008C2A14" w:rsidRDefault="008C2A14"/>
    <w:tbl>
      <w:tblPr>
        <w:tblStyle w:val="TableGrid"/>
        <w:tblpPr w:leftFromText="180" w:rightFromText="180" w:vertAnchor="text" w:horzAnchor="margin" w:tblpY="152"/>
        <w:tblW w:w="5000" w:type="pct"/>
        <w:tblLook w:val="04A0" w:firstRow="1" w:lastRow="0" w:firstColumn="1" w:lastColumn="0" w:noHBand="0" w:noVBand="1"/>
      </w:tblPr>
      <w:tblGrid>
        <w:gridCol w:w="4075"/>
        <w:gridCol w:w="1331"/>
        <w:gridCol w:w="1331"/>
        <w:gridCol w:w="7211"/>
      </w:tblGrid>
      <w:tr w:rsidR="000252C3" w14:paraId="40EF27D2" w14:textId="77777777" w:rsidTr="008A5A69">
        <w:tc>
          <w:tcPr>
            <w:tcW w:w="1461" w:type="pct"/>
          </w:tcPr>
          <w:p w14:paraId="7C71EC28" w14:textId="77777777" w:rsidR="000252C3" w:rsidRPr="00B159A7" w:rsidRDefault="000252C3" w:rsidP="008C2A14">
            <w:pPr>
              <w:rPr>
                <w:b/>
                <w:bCs/>
              </w:rPr>
            </w:pPr>
            <w:r w:rsidRPr="00B159A7">
              <w:rPr>
                <w:b/>
                <w:bCs/>
              </w:rPr>
              <w:t>Decision Notice Clause</w:t>
            </w:r>
          </w:p>
        </w:tc>
        <w:tc>
          <w:tcPr>
            <w:tcW w:w="477" w:type="pct"/>
            <w:shd w:val="clear" w:color="auto" w:fill="DEEAF6" w:themeFill="accent5" w:themeFillTint="33"/>
          </w:tcPr>
          <w:p w14:paraId="62F20FE4" w14:textId="717D9381" w:rsidR="000252C3" w:rsidRPr="00B159A7" w:rsidRDefault="000252C3" w:rsidP="008C2A14">
            <w:pPr>
              <w:rPr>
                <w:b/>
                <w:bCs/>
              </w:rPr>
            </w:pPr>
            <w:r>
              <w:rPr>
                <w:b/>
                <w:bCs/>
              </w:rPr>
              <w:t>Contained in submission</w:t>
            </w:r>
          </w:p>
        </w:tc>
        <w:tc>
          <w:tcPr>
            <w:tcW w:w="477" w:type="pct"/>
            <w:shd w:val="clear" w:color="auto" w:fill="FFF2CC" w:themeFill="accent4" w:themeFillTint="33"/>
          </w:tcPr>
          <w:p w14:paraId="397DB6FD" w14:textId="4CD4E056" w:rsidR="000252C3" w:rsidRPr="00B159A7" w:rsidRDefault="000252C3" w:rsidP="008C2A14">
            <w:pPr>
              <w:rPr>
                <w:b/>
                <w:bCs/>
              </w:rPr>
            </w:pPr>
            <w:r w:rsidRPr="00B159A7">
              <w:rPr>
                <w:b/>
                <w:bCs/>
              </w:rPr>
              <w:t>A</w:t>
            </w:r>
            <w:r>
              <w:rPr>
                <w:b/>
                <w:bCs/>
              </w:rPr>
              <w:t xml:space="preserve">pprovable standard </w:t>
            </w:r>
          </w:p>
        </w:tc>
        <w:tc>
          <w:tcPr>
            <w:tcW w:w="2585" w:type="pct"/>
          </w:tcPr>
          <w:p w14:paraId="26E1D683" w14:textId="5DC426D2" w:rsidR="000252C3" w:rsidRPr="00B159A7" w:rsidRDefault="000252C3" w:rsidP="008C2A14">
            <w:pPr>
              <w:rPr>
                <w:b/>
                <w:bCs/>
              </w:rPr>
            </w:pPr>
            <w:r w:rsidRPr="00B159A7">
              <w:rPr>
                <w:b/>
                <w:bCs/>
              </w:rPr>
              <w:t>Further information required</w:t>
            </w:r>
            <w:r>
              <w:rPr>
                <w:b/>
                <w:bCs/>
              </w:rPr>
              <w:t>:</w:t>
            </w:r>
          </w:p>
        </w:tc>
      </w:tr>
      <w:tr w:rsidR="00AE7BCA" w14:paraId="02D7BFCB" w14:textId="77777777" w:rsidTr="008A5A69">
        <w:tc>
          <w:tcPr>
            <w:tcW w:w="1461" w:type="pct"/>
          </w:tcPr>
          <w:p w14:paraId="7B74DBC1" w14:textId="77777777" w:rsidR="002F0048" w:rsidRDefault="002F0048" w:rsidP="00AE7BCA">
            <w:r>
              <w:t xml:space="preserve">a. A Flood Risk Assessment (FRA) which shall include: </w:t>
            </w:r>
          </w:p>
          <w:p w14:paraId="66E107BF" w14:textId="77777777" w:rsidR="002F0048" w:rsidRDefault="002F0048" w:rsidP="00AE7BCA">
            <w:r>
              <w:t xml:space="preserve">- An overlay of the proposed masterplan on Flood Zone 2 &amp; 3 extents. - Sequential test should demonstrate sequential </w:t>
            </w:r>
            <w:proofErr w:type="spellStart"/>
            <w:r>
              <w:t>masterplanning</w:t>
            </w:r>
            <w:proofErr w:type="spellEnd"/>
            <w:r>
              <w:t xml:space="preserve"> of the proposal.</w:t>
            </w:r>
          </w:p>
          <w:p w14:paraId="4B8E8306" w14:textId="77777777" w:rsidR="002F0048" w:rsidRDefault="002F0048" w:rsidP="00AE7BCA">
            <w:r>
              <w:t xml:space="preserve">- Exception test to be applied. </w:t>
            </w:r>
          </w:p>
          <w:p w14:paraId="40282C7D" w14:textId="77777777" w:rsidR="002F0048" w:rsidRDefault="002F0048" w:rsidP="00AE7BCA">
            <w:r>
              <w:t xml:space="preserve">- Proposed mitigation in line with NPPF / Standing Advice requirements. </w:t>
            </w:r>
          </w:p>
          <w:p w14:paraId="5F135CC7" w14:textId="77777777" w:rsidR="002F0048" w:rsidRDefault="002F0048" w:rsidP="00AE7BCA">
            <w:r>
              <w:t xml:space="preserve">- The FRA should demonstrate that sufficient consideration has been given to the potential vulnerability of residents housed in the proposed development, regarding flood risk, evacuation, access and egress during any such event. </w:t>
            </w:r>
          </w:p>
          <w:p w14:paraId="31D78107" w14:textId="01A2D6B4" w:rsidR="00AE7BCA" w:rsidRDefault="002F0048" w:rsidP="00AE7BCA">
            <w:r>
              <w:t>- Modelled 2D flood levels for the onsite flood extents shall be obtained from the Environment Agency and considered in FFL design. The FRA shall include modelled flood levels upon which FFLs are proposed.</w:t>
            </w:r>
          </w:p>
        </w:tc>
        <w:tc>
          <w:tcPr>
            <w:tcW w:w="477" w:type="pct"/>
            <w:shd w:val="clear" w:color="auto" w:fill="DEEAF6" w:themeFill="accent5" w:themeFillTint="33"/>
          </w:tcPr>
          <w:p w14:paraId="0CF66128" w14:textId="02157136" w:rsidR="00AE7BCA" w:rsidRDefault="0090154B" w:rsidP="00AE7BCA">
            <w:r>
              <w:t>Y</w:t>
            </w:r>
          </w:p>
        </w:tc>
        <w:tc>
          <w:tcPr>
            <w:tcW w:w="477" w:type="pct"/>
            <w:shd w:val="clear" w:color="auto" w:fill="FFF2CC" w:themeFill="accent4" w:themeFillTint="33"/>
          </w:tcPr>
          <w:p w14:paraId="337DA5F0" w14:textId="33E4FFD7" w:rsidR="00AE7BCA" w:rsidRDefault="00AE7BCA" w:rsidP="00AE7BCA">
            <w:r>
              <w:t>N</w:t>
            </w:r>
          </w:p>
        </w:tc>
        <w:tc>
          <w:tcPr>
            <w:tcW w:w="2585" w:type="pct"/>
          </w:tcPr>
          <w:p w14:paraId="7653AB18" w14:textId="6540934E" w:rsidR="00530C5D" w:rsidRDefault="00530C5D" w:rsidP="00AE7BCA">
            <w:r>
              <w:t>The developer must provide</w:t>
            </w:r>
            <w:r>
              <w:t xml:space="preserve"> Modelled 2D flood levels for the onsite flood extents</w:t>
            </w:r>
            <w:r>
              <w:t xml:space="preserve">, which can </w:t>
            </w:r>
            <w:r>
              <w:t>obtained from the Environment Agency and considered in FFL design</w:t>
            </w:r>
            <w:r>
              <w:t xml:space="preserve"> (product 4). The developer has referenced levels obtained </w:t>
            </w:r>
            <w:proofErr w:type="spellStart"/>
            <w:r>
              <w:t>form</w:t>
            </w:r>
            <w:proofErr w:type="spellEnd"/>
            <w:r>
              <w:t xml:space="preserve"> the EA however, the product 4 data is not attached. </w:t>
            </w:r>
          </w:p>
        </w:tc>
      </w:tr>
      <w:tr w:rsidR="00AE7BCA" w14:paraId="0C5C386A" w14:textId="77777777" w:rsidTr="008A5A69">
        <w:tc>
          <w:tcPr>
            <w:tcW w:w="1461" w:type="pct"/>
          </w:tcPr>
          <w:p w14:paraId="29E57CD4" w14:textId="7250A8BD" w:rsidR="00AE7BCA" w:rsidRDefault="00B925BA" w:rsidP="00AE7BCA">
            <w:r>
              <w:t>A finalised drainage layout showing all components, inlets, outfalls, levels and connectivity.</w:t>
            </w:r>
          </w:p>
        </w:tc>
        <w:tc>
          <w:tcPr>
            <w:tcW w:w="477" w:type="pct"/>
            <w:shd w:val="clear" w:color="auto" w:fill="DEEAF6" w:themeFill="accent5" w:themeFillTint="33"/>
          </w:tcPr>
          <w:p w14:paraId="2B2A5C31" w14:textId="119E8A22" w:rsidR="00AE7BCA" w:rsidRDefault="00AE7BCA" w:rsidP="00AE7BCA">
            <w:r>
              <w:t>Y</w:t>
            </w:r>
          </w:p>
        </w:tc>
        <w:tc>
          <w:tcPr>
            <w:tcW w:w="477" w:type="pct"/>
            <w:shd w:val="clear" w:color="auto" w:fill="FFF2CC" w:themeFill="accent4" w:themeFillTint="33"/>
          </w:tcPr>
          <w:p w14:paraId="63F29FB1" w14:textId="6B051C7D" w:rsidR="00AE7BCA" w:rsidRDefault="00AE7BCA" w:rsidP="00AE7BCA">
            <w:r>
              <w:t>N</w:t>
            </w:r>
          </w:p>
        </w:tc>
        <w:tc>
          <w:tcPr>
            <w:tcW w:w="2585" w:type="pct"/>
          </w:tcPr>
          <w:p w14:paraId="7F715184" w14:textId="77777777" w:rsidR="00AE7BCA" w:rsidRDefault="00D37C8D" w:rsidP="00AE7BCA">
            <w:r>
              <w:t xml:space="preserve">Drawing no. </w:t>
            </w:r>
            <w:r>
              <w:t>077442</w:t>
            </w:r>
            <w:r>
              <w:t>-</w:t>
            </w:r>
            <w:r>
              <w:t>CUR</w:t>
            </w:r>
            <w:r>
              <w:t>-</w:t>
            </w:r>
            <w:r>
              <w:t>XX</w:t>
            </w:r>
            <w:r>
              <w:t>-</w:t>
            </w:r>
            <w:r>
              <w:t>XX</w:t>
            </w:r>
            <w:r>
              <w:t>-</w:t>
            </w:r>
            <w:r>
              <w:t>D C</w:t>
            </w:r>
            <w:r>
              <w:t>-</w:t>
            </w:r>
            <w:r>
              <w:t>92500</w:t>
            </w:r>
            <w:r>
              <w:t>-</w:t>
            </w:r>
            <w:r>
              <w:t>P</w:t>
            </w:r>
            <w:r>
              <w:t>03 references the following “</w:t>
            </w:r>
            <w:r>
              <w:t>WORKS WITHIN 3m EXCLUSION ZONE ARE TO BE AGREED WITH NETWORK RAIL</w:t>
            </w:r>
            <w:r>
              <w:t xml:space="preserve">”. Any works within the exclusion zone will need to be agreed upfront, to ensure no changes during construction. </w:t>
            </w:r>
          </w:p>
          <w:p w14:paraId="793ACAD4" w14:textId="77777777" w:rsidR="00D37C8D" w:rsidRDefault="00D37C8D" w:rsidP="00AE7BCA"/>
          <w:p w14:paraId="6915A15E" w14:textId="2BA8461A" w:rsidR="00D37C8D" w:rsidRDefault="00D37C8D" w:rsidP="00AE7BCA">
            <w:r>
              <w:lastRenderedPageBreak/>
              <w:t>The SW outfall (S14) is currently referenced as “</w:t>
            </w:r>
            <w:r>
              <w:t>IL: 24.87(SUBMERGED</w:t>
            </w:r>
            <w:r>
              <w:t xml:space="preserve">)”. Given the proposed outfall is submerged at the time of water level recording. We would recommend the developer reconsiders the outfall level to ensure an appropriate level of freeboard between invert level and the Bridgewater canal water level. </w:t>
            </w:r>
            <w:r w:rsidR="00C001EB" w:rsidRPr="00C001EB">
              <w:rPr>
                <w:b/>
                <w:bCs/>
                <w:u w:val="single"/>
              </w:rPr>
              <w:t>Ensuring a free-flowing outfall is essential to discharging condition 13.</w:t>
            </w:r>
          </w:p>
          <w:p w14:paraId="0D4AA652" w14:textId="77777777" w:rsidR="00C001EB" w:rsidRDefault="00C001EB" w:rsidP="00AE7BCA"/>
          <w:p w14:paraId="0F6A5B4D" w14:textId="0479BE13" w:rsidR="00C001EB" w:rsidRDefault="00C001EB" w:rsidP="00AE7BCA">
            <w:r>
              <w:t xml:space="preserve">Currently no hydro-brake has been proposed due to the outfall being submerged. However, MCC LLFA would strongly recommend the developer reconsiders the SW drainage design to ensure a </w:t>
            </w:r>
            <w:r w:rsidR="00B937A8">
              <w:t>free-flowing</w:t>
            </w:r>
            <w:r>
              <w:t xml:space="preserve"> SW outfall, limited at a suitable discharge rate (calculations should support the proposed flow rate).</w:t>
            </w:r>
          </w:p>
          <w:p w14:paraId="4AEA8EBF" w14:textId="796A641A" w:rsidR="00034E8E" w:rsidRDefault="00034E8E" w:rsidP="00034E8E"/>
          <w:p w14:paraId="21B7221B" w14:textId="2F94603C" w:rsidR="00034E8E" w:rsidRDefault="00034E8E" w:rsidP="00034E8E">
            <w:r>
              <w:t xml:space="preserve">Attenuation dimensions for the sports pitches must be demonstrated on the SW drainage layout. This must include overall volume, and length, width, hight of the structure. </w:t>
            </w:r>
          </w:p>
          <w:p w14:paraId="45794235" w14:textId="77777777" w:rsidR="00B932B3" w:rsidRDefault="00B932B3" w:rsidP="00034E8E"/>
          <w:p w14:paraId="56E5C471" w14:textId="73725EBA" w:rsidR="00B932B3" w:rsidRDefault="00B932B3" w:rsidP="00034E8E">
            <w:r>
              <w:t xml:space="preserve">The applicant will need to provide evidence from </w:t>
            </w:r>
            <w:r>
              <w:t>MSCC/PEEL PORTS</w:t>
            </w:r>
            <w:r>
              <w:t xml:space="preserve"> to ensure the outfall is accepted prior to discharging condition 13. This approval </w:t>
            </w:r>
            <w:r w:rsidR="000E260A">
              <w:t xml:space="preserve">must also reference the proposed discharge rate. </w:t>
            </w:r>
          </w:p>
          <w:p w14:paraId="6C272B25" w14:textId="77777777" w:rsidR="00034E8E" w:rsidRDefault="00034E8E" w:rsidP="00AE7BCA"/>
          <w:p w14:paraId="6DE52F80" w14:textId="4393EF59" w:rsidR="00D37C8D" w:rsidRDefault="00034E8E" w:rsidP="00034E8E">
            <w:r w:rsidRPr="00034E8E">
              <w:t xml:space="preserve">standard comment:   The applicant must present a consistent package to discharge this condition (Including all layouts and calculations). The layout and calculations must be jointly updated to account for any edits required. When preparing a resubmission, the applicant must ensure that the drainage layout and hydraulic calculations correspond, and that they can be cross-referenced for checks. This includes layout annotations and schedule printouts. </w:t>
            </w:r>
          </w:p>
        </w:tc>
      </w:tr>
      <w:tr w:rsidR="00AE7BCA" w14:paraId="2D24549F" w14:textId="77777777" w:rsidTr="008A5A69">
        <w:tc>
          <w:tcPr>
            <w:tcW w:w="1461" w:type="pct"/>
          </w:tcPr>
          <w:p w14:paraId="6075679D" w14:textId="6B2581E7" w:rsidR="00AE7BCA" w:rsidRDefault="00C001EB" w:rsidP="00AE7BCA">
            <w:r>
              <w:lastRenderedPageBreak/>
              <w:t>Maximised integration of green SuDS components (utilising infiltration or attenuation);</w:t>
            </w:r>
          </w:p>
        </w:tc>
        <w:tc>
          <w:tcPr>
            <w:tcW w:w="477" w:type="pct"/>
            <w:shd w:val="clear" w:color="auto" w:fill="DEEAF6" w:themeFill="accent5" w:themeFillTint="33"/>
          </w:tcPr>
          <w:p w14:paraId="61228E83" w14:textId="59F17CD1" w:rsidR="00AE7BCA" w:rsidRDefault="00AE7BCA" w:rsidP="00AE7BCA">
            <w:r>
              <w:t>Y</w:t>
            </w:r>
          </w:p>
        </w:tc>
        <w:tc>
          <w:tcPr>
            <w:tcW w:w="477" w:type="pct"/>
            <w:shd w:val="clear" w:color="auto" w:fill="FFF2CC" w:themeFill="accent4" w:themeFillTint="33"/>
          </w:tcPr>
          <w:p w14:paraId="1314E295" w14:textId="7439C650" w:rsidR="00AE7BCA" w:rsidRDefault="00AE7BCA" w:rsidP="00AE7BCA">
            <w:r>
              <w:t>Y</w:t>
            </w:r>
          </w:p>
        </w:tc>
        <w:tc>
          <w:tcPr>
            <w:tcW w:w="2585" w:type="pct"/>
          </w:tcPr>
          <w:p w14:paraId="23451ADD" w14:textId="77777777" w:rsidR="00AE7BCA" w:rsidRDefault="00AE7BCA" w:rsidP="00AE7BCA"/>
        </w:tc>
      </w:tr>
      <w:tr w:rsidR="00AE7BCA" w14:paraId="07705FED" w14:textId="77777777" w:rsidTr="008A5A69">
        <w:tc>
          <w:tcPr>
            <w:tcW w:w="1461" w:type="pct"/>
          </w:tcPr>
          <w:p w14:paraId="65CF2469" w14:textId="10D01245" w:rsidR="00AE7BCA" w:rsidRDefault="00B925BA" w:rsidP="00AE7BCA">
            <w:r>
              <w:lastRenderedPageBreak/>
              <w:t>An existing and proposed impermeable areas drawing to accompany all discharge rate calculations</w:t>
            </w:r>
          </w:p>
        </w:tc>
        <w:tc>
          <w:tcPr>
            <w:tcW w:w="477" w:type="pct"/>
            <w:shd w:val="clear" w:color="auto" w:fill="DEEAF6" w:themeFill="accent5" w:themeFillTint="33"/>
          </w:tcPr>
          <w:p w14:paraId="023D2DF7" w14:textId="47A2EB26" w:rsidR="00AE7BCA" w:rsidRDefault="00AE7BCA" w:rsidP="00AE7BCA">
            <w:r>
              <w:t>Y</w:t>
            </w:r>
          </w:p>
        </w:tc>
        <w:tc>
          <w:tcPr>
            <w:tcW w:w="477" w:type="pct"/>
            <w:shd w:val="clear" w:color="auto" w:fill="FFF2CC" w:themeFill="accent4" w:themeFillTint="33"/>
          </w:tcPr>
          <w:p w14:paraId="56B4C961" w14:textId="0B1EC270" w:rsidR="00AE7BCA" w:rsidRDefault="00AE7BCA" w:rsidP="00AE7BCA">
            <w:r>
              <w:t>N</w:t>
            </w:r>
          </w:p>
        </w:tc>
        <w:tc>
          <w:tcPr>
            <w:tcW w:w="2585" w:type="pct"/>
          </w:tcPr>
          <w:p w14:paraId="7507CFFE" w14:textId="77777777" w:rsidR="00B925BA" w:rsidRDefault="00B925BA" w:rsidP="00B925BA">
            <w:r>
              <w:t>Currently no hydro-brake has been proposed due to the outfall being submerged. However, MCC LLFA would strongly recommend the developer reconsiders the SW drainage design to ensure a free flowing SW outfall, limited at a suitable discharge rate (calculations should support the proposed flow rate).</w:t>
            </w:r>
          </w:p>
          <w:p w14:paraId="2F6320DC" w14:textId="77777777" w:rsidR="00B925BA" w:rsidRDefault="00B925BA" w:rsidP="00B925BA"/>
          <w:p w14:paraId="0BE74768" w14:textId="07DB057E" w:rsidR="00B925BA" w:rsidRDefault="00B925BA" w:rsidP="00B925BA">
            <w:r>
              <w:t>The developer should provide brownfield run-off calculations for the existing hardstanding area. This should be accompanied by an existing dra</w:t>
            </w:r>
            <w:r w:rsidR="009008C7">
              <w:t>inage survey.</w:t>
            </w:r>
          </w:p>
          <w:p w14:paraId="709E6407" w14:textId="77777777" w:rsidR="00AE7BCA" w:rsidRDefault="00AE7BCA" w:rsidP="00AE7BCA"/>
        </w:tc>
      </w:tr>
      <w:tr w:rsidR="00AE7BCA" w14:paraId="007CA251" w14:textId="77777777" w:rsidTr="008A5A69">
        <w:tc>
          <w:tcPr>
            <w:tcW w:w="1461" w:type="pct"/>
          </w:tcPr>
          <w:p w14:paraId="7D1CB27A" w14:textId="7481367C" w:rsidR="00AE7BCA" w:rsidRDefault="00B925BA" w:rsidP="00AE7BCA">
            <w:r>
              <w:t>Runoff volume in the 1 in 100 year, 6 hours rainfall shall be constrained to a value as close as is reasonable practicable to the greenfield runoff volume for the same event, but never to exceed the runoff volume from the development site prior to redevelopment;</w:t>
            </w:r>
          </w:p>
        </w:tc>
        <w:tc>
          <w:tcPr>
            <w:tcW w:w="477" w:type="pct"/>
            <w:shd w:val="clear" w:color="auto" w:fill="DEEAF6" w:themeFill="accent5" w:themeFillTint="33"/>
          </w:tcPr>
          <w:p w14:paraId="5976369F" w14:textId="57F4E28E" w:rsidR="009008C7" w:rsidRDefault="00AE7BCA" w:rsidP="00AE7BCA">
            <w:r>
              <w:t>Y</w:t>
            </w:r>
          </w:p>
        </w:tc>
        <w:tc>
          <w:tcPr>
            <w:tcW w:w="477" w:type="pct"/>
            <w:shd w:val="clear" w:color="auto" w:fill="FFF2CC" w:themeFill="accent4" w:themeFillTint="33"/>
          </w:tcPr>
          <w:p w14:paraId="50F7F90A" w14:textId="1DE03BC0" w:rsidR="00AE7BCA" w:rsidRDefault="00034E8E" w:rsidP="00AE7BCA">
            <w:r>
              <w:t>N</w:t>
            </w:r>
          </w:p>
        </w:tc>
        <w:tc>
          <w:tcPr>
            <w:tcW w:w="2585" w:type="pct"/>
          </w:tcPr>
          <w:p w14:paraId="69FC5125" w14:textId="77777777" w:rsidR="009008C7" w:rsidRDefault="009008C7" w:rsidP="009008C7">
            <w:r>
              <w:t xml:space="preserve">Same as above. </w:t>
            </w:r>
          </w:p>
          <w:p w14:paraId="1C89E4DA" w14:textId="77777777" w:rsidR="009008C7" w:rsidRDefault="009008C7" w:rsidP="009008C7"/>
          <w:p w14:paraId="3EF38FCF" w14:textId="0FC1E564" w:rsidR="009008C7" w:rsidRDefault="009008C7" w:rsidP="009008C7">
            <w:r>
              <w:t>Currently no hydro-brake has been proposed due to the outfall being submerged. However, MCC LLFA would strongly recommend the developer reconsiders the SW drainage design to ensure a free flowing SW outfall, limited at a suitable discharge rate (calculations should support the proposed flow rate).</w:t>
            </w:r>
          </w:p>
          <w:p w14:paraId="5419E540" w14:textId="77777777" w:rsidR="00AE7BCA" w:rsidRDefault="00AE7BCA" w:rsidP="00AE7BCA"/>
        </w:tc>
      </w:tr>
      <w:tr w:rsidR="00B925BA" w14:paraId="1604F114" w14:textId="77777777" w:rsidTr="008A5A69">
        <w:tc>
          <w:tcPr>
            <w:tcW w:w="1461" w:type="pct"/>
          </w:tcPr>
          <w:p w14:paraId="7B4393CE" w14:textId="484B7ECE" w:rsidR="00B925BA" w:rsidRDefault="00B925BA" w:rsidP="00B925BA">
            <w:r>
              <w:t>Evidence that the drainage system has been designed (unless an area is designated to hold and/or convey water as part of the design) so that flooding does not occur during a 1 in 100 year rainfall event with allowance for 40% climate change in any part of a building;</w:t>
            </w:r>
          </w:p>
        </w:tc>
        <w:tc>
          <w:tcPr>
            <w:tcW w:w="477" w:type="pct"/>
            <w:shd w:val="clear" w:color="auto" w:fill="DEEAF6" w:themeFill="accent5" w:themeFillTint="33"/>
          </w:tcPr>
          <w:p w14:paraId="6A8A42D0" w14:textId="27B74B3D" w:rsidR="00B925BA" w:rsidRDefault="00B925BA" w:rsidP="00B925BA">
            <w:r>
              <w:t>Y</w:t>
            </w:r>
          </w:p>
        </w:tc>
        <w:tc>
          <w:tcPr>
            <w:tcW w:w="477" w:type="pct"/>
            <w:shd w:val="clear" w:color="auto" w:fill="FFF2CC" w:themeFill="accent4" w:themeFillTint="33"/>
          </w:tcPr>
          <w:p w14:paraId="553224DD" w14:textId="2D197ACB" w:rsidR="00B925BA" w:rsidRDefault="00CF01E7" w:rsidP="00B925BA">
            <w:r>
              <w:t>N</w:t>
            </w:r>
          </w:p>
        </w:tc>
        <w:tc>
          <w:tcPr>
            <w:tcW w:w="2585" w:type="pct"/>
          </w:tcPr>
          <w:p w14:paraId="7FBD236C" w14:textId="77777777" w:rsidR="00B925BA" w:rsidRDefault="00B925BA" w:rsidP="00B925BA"/>
        </w:tc>
      </w:tr>
      <w:tr w:rsidR="00B925BA" w14:paraId="7E6DAAD1" w14:textId="77777777" w:rsidTr="008A5A69">
        <w:tc>
          <w:tcPr>
            <w:tcW w:w="1461" w:type="pct"/>
          </w:tcPr>
          <w:p w14:paraId="18997EC7" w14:textId="15560104" w:rsidR="00B925BA" w:rsidRDefault="00B925BA" w:rsidP="00B925BA">
            <w:r>
              <w:t xml:space="preserve">Assessment of overland flow routes for extreme events that is diverted away from buildings (including basements). Overland flow routes need to be designed to convey the flood water in a safe manner in the event of a blockage or exceedance of the proposed drainage system capacity including inlet structures. A layout with </w:t>
            </w:r>
            <w:r>
              <w:lastRenderedPageBreak/>
              <w:t>overland flow routes needs to be presented with appreciation of these overland flow routes with regards to the properties on site and adjacent properties off site.</w:t>
            </w:r>
          </w:p>
        </w:tc>
        <w:tc>
          <w:tcPr>
            <w:tcW w:w="477" w:type="pct"/>
            <w:shd w:val="clear" w:color="auto" w:fill="DEEAF6" w:themeFill="accent5" w:themeFillTint="33"/>
          </w:tcPr>
          <w:p w14:paraId="53A16206" w14:textId="6A49C0E7" w:rsidR="00B925BA" w:rsidRDefault="00B925BA" w:rsidP="00B925BA">
            <w:r>
              <w:lastRenderedPageBreak/>
              <w:t>Y</w:t>
            </w:r>
          </w:p>
        </w:tc>
        <w:tc>
          <w:tcPr>
            <w:tcW w:w="477" w:type="pct"/>
            <w:shd w:val="clear" w:color="auto" w:fill="FFF2CC" w:themeFill="accent4" w:themeFillTint="33"/>
          </w:tcPr>
          <w:p w14:paraId="713A4FD3" w14:textId="32124D1A" w:rsidR="00B925BA" w:rsidRDefault="00B925BA" w:rsidP="00B925BA">
            <w:r>
              <w:t>Y</w:t>
            </w:r>
          </w:p>
        </w:tc>
        <w:tc>
          <w:tcPr>
            <w:tcW w:w="2585" w:type="pct"/>
          </w:tcPr>
          <w:p w14:paraId="65155513" w14:textId="77777777" w:rsidR="00B925BA" w:rsidRDefault="00B925BA" w:rsidP="00B925BA"/>
        </w:tc>
      </w:tr>
      <w:tr w:rsidR="00B925BA" w14:paraId="2993A4B9" w14:textId="77777777" w:rsidTr="008A5A69">
        <w:tc>
          <w:tcPr>
            <w:tcW w:w="1461" w:type="pct"/>
          </w:tcPr>
          <w:p w14:paraId="2C12637E" w14:textId="39FD51C8" w:rsidR="00B925BA" w:rsidRDefault="00B925BA" w:rsidP="00B925BA">
            <w:r>
              <w:t>Hydraulic calculation of the proposed drainage system</w:t>
            </w:r>
          </w:p>
        </w:tc>
        <w:tc>
          <w:tcPr>
            <w:tcW w:w="477" w:type="pct"/>
            <w:shd w:val="clear" w:color="auto" w:fill="DEEAF6" w:themeFill="accent5" w:themeFillTint="33"/>
          </w:tcPr>
          <w:p w14:paraId="587FB41C" w14:textId="4F3690DF" w:rsidR="00B925BA" w:rsidRDefault="00B925BA" w:rsidP="00B925BA">
            <w:r>
              <w:t>Y</w:t>
            </w:r>
          </w:p>
        </w:tc>
        <w:tc>
          <w:tcPr>
            <w:tcW w:w="477" w:type="pct"/>
            <w:shd w:val="clear" w:color="auto" w:fill="FFF2CC" w:themeFill="accent4" w:themeFillTint="33"/>
          </w:tcPr>
          <w:p w14:paraId="362D801F" w14:textId="388B83FB" w:rsidR="00B925BA" w:rsidRDefault="00B925BA" w:rsidP="00B925BA">
            <w:r>
              <w:t>N</w:t>
            </w:r>
          </w:p>
        </w:tc>
        <w:tc>
          <w:tcPr>
            <w:tcW w:w="2585" w:type="pct"/>
          </w:tcPr>
          <w:p w14:paraId="48A9CCE3" w14:textId="77777777" w:rsidR="00B925BA" w:rsidRDefault="00327D53" w:rsidP="00B925BA">
            <w:r>
              <w:t>The developer has included ‘Additional</w:t>
            </w:r>
            <w:r>
              <w:t xml:space="preserve"> Storage (m³/ha)</w:t>
            </w:r>
            <w:r>
              <w:t xml:space="preserve"> of 20m</w:t>
            </w:r>
            <w:r>
              <w:rPr>
                <w:vertAlign w:val="superscript"/>
              </w:rPr>
              <w:t xml:space="preserve">3 </w:t>
            </w:r>
            <w:r>
              <w:t xml:space="preserve">’ within the calculation however, no storage inputs have been provided within the network. The developer must update the storage calculations to reflect the correct attenuation parameters. </w:t>
            </w:r>
          </w:p>
          <w:p w14:paraId="0E5F043C" w14:textId="77777777" w:rsidR="00327D53" w:rsidRDefault="00327D53" w:rsidP="00B925BA"/>
          <w:p w14:paraId="142047DD" w14:textId="3C9753B4" w:rsidR="00327D53" w:rsidRDefault="00327D53" w:rsidP="00B925BA">
            <w:r>
              <w:t xml:space="preserve">The hydraulic calculations indicate </w:t>
            </w:r>
            <w:r w:rsidR="00B937A8">
              <w:t xml:space="preserve">discharge rates for the following storm durations: 1:30 – 52.8 l/s, 1:100 cc – 90l/s. Given the outfall will be surcharged the likelihood will be flow rates will be significantly lower (if any) than included within the hydraulic modelling. </w:t>
            </w:r>
          </w:p>
          <w:p w14:paraId="710408A4" w14:textId="77777777" w:rsidR="00B937A8" w:rsidRDefault="00B937A8" w:rsidP="00B925BA"/>
          <w:p w14:paraId="7B16D18A" w14:textId="77777777" w:rsidR="00327D53" w:rsidRDefault="00B937A8" w:rsidP="00B925BA">
            <w:r>
              <w:t xml:space="preserve">It should also be noted, the existing peak discharge rate referenced within point E is 14l/s during a 1:100 year + 45% cc simulation, which is significantly less than the flow rates included within the hydraulic modelling. </w:t>
            </w:r>
            <w:r w:rsidR="00034E8E">
              <w:t xml:space="preserve">MCC LLFA would be unable to approve a design which increased flows into the receiving waterbody. </w:t>
            </w:r>
          </w:p>
          <w:p w14:paraId="640D50A5" w14:textId="77777777" w:rsidR="00034E8E" w:rsidRDefault="00034E8E" w:rsidP="00B925BA"/>
          <w:p w14:paraId="0A98F8F6" w14:textId="19625111" w:rsidR="00034E8E" w:rsidRPr="00327D53" w:rsidRDefault="00034E8E" w:rsidP="00B925BA">
            <w:r w:rsidRPr="00034E8E">
              <w:t xml:space="preserve">standard comment:   The applicant must present a consistent package to discharge this condition (Including all layouts and calculations). The layout and calculations must be jointly updated to account for any edits required. When preparing a resubmission, the applicant must ensure that the drainage layout and hydraulic calculations correspond, and that they can be cross-referenced for checks. This includes layout annotations and schedule printouts. </w:t>
            </w:r>
          </w:p>
        </w:tc>
      </w:tr>
      <w:tr w:rsidR="00B925BA" w14:paraId="36ED5AE8" w14:textId="77777777" w:rsidTr="008A5A69">
        <w:tc>
          <w:tcPr>
            <w:tcW w:w="1461" w:type="pct"/>
          </w:tcPr>
          <w:p w14:paraId="57E864FD" w14:textId="18C50B51" w:rsidR="00B925BA" w:rsidRDefault="00B925BA" w:rsidP="00B925BA">
            <w:r>
              <w:t>Construction details of flow control and SuDS elements</w:t>
            </w:r>
          </w:p>
        </w:tc>
        <w:tc>
          <w:tcPr>
            <w:tcW w:w="477" w:type="pct"/>
            <w:shd w:val="clear" w:color="auto" w:fill="DEEAF6" w:themeFill="accent5" w:themeFillTint="33"/>
          </w:tcPr>
          <w:p w14:paraId="097726BD" w14:textId="3577E6A5" w:rsidR="00B925BA" w:rsidRDefault="00B925BA" w:rsidP="00B925BA">
            <w:r>
              <w:t>N</w:t>
            </w:r>
          </w:p>
        </w:tc>
        <w:tc>
          <w:tcPr>
            <w:tcW w:w="477" w:type="pct"/>
            <w:shd w:val="clear" w:color="auto" w:fill="FFF2CC" w:themeFill="accent4" w:themeFillTint="33"/>
          </w:tcPr>
          <w:p w14:paraId="3B15D88F" w14:textId="26F097AE" w:rsidR="00B925BA" w:rsidRDefault="00B925BA" w:rsidP="00B925BA">
            <w:r>
              <w:t>N</w:t>
            </w:r>
          </w:p>
        </w:tc>
        <w:tc>
          <w:tcPr>
            <w:tcW w:w="2585" w:type="pct"/>
          </w:tcPr>
          <w:p w14:paraId="01519618" w14:textId="77777777" w:rsidR="00B925BA" w:rsidRDefault="000B4E62" w:rsidP="00B925BA">
            <w:r>
              <w:t>The developer must provide construction details for the following components:</w:t>
            </w:r>
          </w:p>
          <w:p w14:paraId="7E1261AD" w14:textId="77777777" w:rsidR="000B4E62" w:rsidRDefault="000B4E62" w:rsidP="00B925BA"/>
          <w:p w14:paraId="5DFF51E4" w14:textId="77777777" w:rsidR="00034E8E" w:rsidRDefault="000B4E62" w:rsidP="000B4E62">
            <w:pPr>
              <w:pStyle w:val="ListParagraph"/>
              <w:numPr>
                <w:ilvl w:val="0"/>
                <w:numId w:val="3"/>
              </w:numPr>
            </w:pPr>
            <w:r>
              <w:t>Proposed Sports Pitch with Attenuation provided within the Sub-Base.</w:t>
            </w:r>
          </w:p>
          <w:p w14:paraId="5021ACC1" w14:textId="579C11C3" w:rsidR="000B4E62" w:rsidRDefault="00034E8E" w:rsidP="00B925BA">
            <w:pPr>
              <w:pStyle w:val="ListParagraph"/>
              <w:numPr>
                <w:ilvl w:val="0"/>
                <w:numId w:val="3"/>
              </w:numPr>
            </w:pPr>
            <w:r>
              <w:t>Hydro-brake (if provided)</w:t>
            </w:r>
            <w:r w:rsidR="000B4E62">
              <w:t xml:space="preserve"> </w:t>
            </w:r>
          </w:p>
        </w:tc>
      </w:tr>
    </w:tbl>
    <w:p w14:paraId="5CDE40B2" w14:textId="77777777" w:rsidR="00C94C8E" w:rsidRDefault="00C94C8E" w:rsidP="00C94C8E"/>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tblGrid>
      <w:tr w:rsidR="00C94C8E" w:rsidRPr="008C2A14" w14:paraId="652D1C07" w14:textId="77777777" w:rsidTr="0065624C">
        <w:tc>
          <w:tcPr>
            <w:tcW w:w="4106" w:type="dxa"/>
          </w:tcPr>
          <w:p w14:paraId="2A8D3C9C" w14:textId="06446E86" w:rsidR="00093568" w:rsidRDefault="00093568" w:rsidP="00093568">
            <w:r>
              <w:t xml:space="preserve">% </w:t>
            </w:r>
            <w:r w:rsidR="00586665">
              <w:t>C</w:t>
            </w:r>
            <w:r w:rsidR="00CE0194">
              <w:t>omplete</w:t>
            </w:r>
            <w:r>
              <w:t xml:space="preserve"> submission</w:t>
            </w:r>
            <w:r w:rsidR="00CE0194">
              <w:t>:</w:t>
            </w:r>
          </w:p>
          <w:p w14:paraId="16902F7F" w14:textId="635C0EA7" w:rsidR="00C94C8E" w:rsidRPr="008C2A14" w:rsidRDefault="00093568" w:rsidP="00093568">
            <w:r w:rsidRPr="008C2A14">
              <w:t>(</w:t>
            </w:r>
            <w:r w:rsidR="00CE0194">
              <w:t>less than 20</w:t>
            </w:r>
            <w:r w:rsidRPr="008C2A14">
              <w:t>%</w:t>
            </w:r>
            <w:r w:rsidR="00CE0194">
              <w:t xml:space="preserve"> comp</w:t>
            </w:r>
            <w:r w:rsidR="00EE0299">
              <w:t>l</w:t>
            </w:r>
            <w:r w:rsidR="00CE0194">
              <w:t>ete will</w:t>
            </w:r>
            <w:r w:rsidRPr="008C2A14">
              <w:t xml:space="preserve"> trigger</w:t>
            </w:r>
            <w:r w:rsidR="00CE0194">
              <w:t xml:space="preserve"> a </w:t>
            </w:r>
            <w:r w:rsidRPr="008C2A14">
              <w:t xml:space="preserve">recommended </w:t>
            </w:r>
            <w:r w:rsidRPr="004E27ED">
              <w:t>Refusal)</w:t>
            </w:r>
          </w:p>
        </w:tc>
        <w:tc>
          <w:tcPr>
            <w:tcW w:w="1276" w:type="dxa"/>
            <w:shd w:val="clear" w:color="auto" w:fill="DEEAF6" w:themeFill="accent5" w:themeFillTint="33"/>
          </w:tcPr>
          <w:p w14:paraId="347AC6E5" w14:textId="04BDB304" w:rsidR="00C94C8E" w:rsidRPr="008C2A14" w:rsidRDefault="00034E8E" w:rsidP="00E73262">
            <w:r>
              <w:t>88</w:t>
            </w:r>
            <w:r w:rsidR="00C94C8E" w:rsidRPr="008C2A14">
              <w:t>%</w:t>
            </w:r>
          </w:p>
        </w:tc>
      </w:tr>
      <w:tr w:rsidR="008A5A69" w:rsidRPr="008C2A14" w14:paraId="7592075F" w14:textId="77777777" w:rsidTr="008A5A69">
        <w:tc>
          <w:tcPr>
            <w:tcW w:w="4106" w:type="dxa"/>
          </w:tcPr>
          <w:p w14:paraId="307D01E0" w14:textId="28D34820" w:rsidR="008A5A69" w:rsidRDefault="008A5A69" w:rsidP="00093568">
            <w:r>
              <w:t xml:space="preserve">% </w:t>
            </w:r>
            <w:r w:rsidR="00586665">
              <w:t>At a</w:t>
            </w:r>
            <w:r>
              <w:t>pprovable standard</w:t>
            </w:r>
            <w:r w:rsidR="00586665">
              <w:t>:</w:t>
            </w:r>
          </w:p>
        </w:tc>
        <w:tc>
          <w:tcPr>
            <w:tcW w:w="1276" w:type="dxa"/>
            <w:shd w:val="clear" w:color="auto" w:fill="FFF2CC" w:themeFill="accent4" w:themeFillTint="33"/>
          </w:tcPr>
          <w:p w14:paraId="46BDAC91" w14:textId="72CB5C74" w:rsidR="008A5A69" w:rsidRDefault="00034E8E" w:rsidP="00E73262">
            <w:r>
              <w:t>22</w:t>
            </w:r>
            <w:r w:rsidR="008A5A69">
              <w:t>%</w:t>
            </w:r>
          </w:p>
        </w:tc>
      </w:tr>
    </w:tbl>
    <w:p w14:paraId="0E991469" w14:textId="77777777" w:rsidR="00C94C8E" w:rsidRPr="008C2A14" w:rsidRDefault="00C94C8E" w:rsidP="00C94C8E"/>
    <w:tbl>
      <w:tblPr>
        <w:tblStyle w:val="TableGrid"/>
        <w:tblW w:w="0" w:type="auto"/>
        <w:tblLook w:val="04A0" w:firstRow="1" w:lastRow="0" w:firstColumn="1" w:lastColumn="0" w:noHBand="0" w:noVBand="1"/>
      </w:tblPr>
      <w:tblGrid>
        <w:gridCol w:w="2689"/>
        <w:gridCol w:w="11259"/>
      </w:tblGrid>
      <w:tr w:rsidR="00DE55AC" w14:paraId="4DF70034" w14:textId="77777777" w:rsidTr="00A27854">
        <w:tc>
          <w:tcPr>
            <w:tcW w:w="2689" w:type="dxa"/>
          </w:tcPr>
          <w:p w14:paraId="21B0A7C9" w14:textId="77777777" w:rsidR="00DE55AC" w:rsidRDefault="00DE55AC" w:rsidP="00E73262">
            <w:r>
              <w:rPr>
                <w:b/>
                <w:bCs/>
              </w:rPr>
              <w:t xml:space="preserve">LLFA </w:t>
            </w:r>
            <w:r w:rsidRPr="008C2A14">
              <w:rPr>
                <w:b/>
                <w:bCs/>
              </w:rPr>
              <w:t>Recommendation</w:t>
            </w:r>
            <w:r w:rsidRPr="008C2A14">
              <w:t>:</w:t>
            </w:r>
          </w:p>
        </w:tc>
        <w:tc>
          <w:tcPr>
            <w:tcW w:w="11259" w:type="dxa"/>
          </w:tcPr>
          <w:p w14:paraId="01E875AC" w14:textId="56CCB6B6" w:rsidR="00DE55AC" w:rsidRDefault="00DE55AC" w:rsidP="00E73262">
            <w:r w:rsidRPr="00DE55AC">
              <w:rPr>
                <w:b/>
                <w:bCs/>
                <w:color w:val="0070C0"/>
              </w:rPr>
              <w:t>Further information required (as detailed above).</w:t>
            </w:r>
          </w:p>
        </w:tc>
      </w:tr>
    </w:tbl>
    <w:p w14:paraId="5088525D" w14:textId="3E60E647" w:rsidR="00034E8E" w:rsidRDefault="00034E8E"/>
    <w:sectPr w:rsidR="00034E8E" w:rsidSect="008C2A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669F4" w14:textId="77777777" w:rsidR="00094435" w:rsidRDefault="00094435" w:rsidP="00094435">
      <w:pPr>
        <w:spacing w:after="0" w:line="240" w:lineRule="auto"/>
      </w:pPr>
      <w:r>
        <w:separator/>
      </w:r>
    </w:p>
  </w:endnote>
  <w:endnote w:type="continuationSeparator" w:id="0">
    <w:p w14:paraId="3BDEE844" w14:textId="77777777" w:rsidR="00094435" w:rsidRDefault="00094435" w:rsidP="0009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106125"/>
      <w:docPartObj>
        <w:docPartGallery w:val="Page Numbers (Bottom of Page)"/>
        <w:docPartUnique/>
      </w:docPartObj>
    </w:sdtPr>
    <w:sdtEndPr>
      <w:rPr>
        <w:noProof/>
      </w:rPr>
    </w:sdtEndPr>
    <w:sdtContent>
      <w:p w14:paraId="6C5A1852" w14:textId="6C48ED20" w:rsidR="0075780C" w:rsidRDefault="0075780C">
        <w:pPr>
          <w:pStyle w:val="Footer"/>
        </w:pPr>
        <w:r>
          <w:fldChar w:fldCharType="begin"/>
        </w:r>
        <w:r>
          <w:instrText xml:space="preserve"> PAGE   \* MERGEFORMAT </w:instrText>
        </w:r>
        <w:r>
          <w:fldChar w:fldCharType="separate"/>
        </w:r>
        <w:r>
          <w:rPr>
            <w:noProof/>
          </w:rPr>
          <w:t>2</w:t>
        </w:r>
        <w:r>
          <w:rPr>
            <w:noProof/>
          </w:rPr>
          <w:fldChar w:fldCharType="end"/>
        </w:r>
      </w:p>
    </w:sdtContent>
  </w:sdt>
  <w:p w14:paraId="5EE4387C" w14:textId="77777777" w:rsidR="0075780C" w:rsidRDefault="0075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33CCC" w14:textId="77777777" w:rsidR="00094435" w:rsidRDefault="00094435" w:rsidP="00094435">
      <w:pPr>
        <w:spacing w:after="0" w:line="240" w:lineRule="auto"/>
      </w:pPr>
      <w:r>
        <w:separator/>
      </w:r>
    </w:p>
  </w:footnote>
  <w:footnote w:type="continuationSeparator" w:id="0">
    <w:p w14:paraId="41B9A4D2" w14:textId="77777777" w:rsidR="00094435" w:rsidRDefault="00094435" w:rsidP="0009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C26A" w14:textId="62DE7F91" w:rsidR="00094435" w:rsidRDefault="00094435" w:rsidP="00094435">
    <w:pPr>
      <w:pStyle w:val="Header"/>
      <w:jc w:val="right"/>
    </w:pPr>
    <w:r>
      <w:t>Manchester City Council LLFA: CDN consultation</w:t>
    </w:r>
    <w:r>
      <w:tab/>
    </w:r>
    <w:r>
      <w:tab/>
    </w:r>
    <w:r>
      <w:rPr>
        <w:noProof/>
      </w:rPr>
      <w:drawing>
        <wp:inline distT="0" distB="0" distL="0" distR="0" wp14:anchorId="7BEF7C6C" wp14:editId="2D852EA0">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1FEA"/>
    <w:multiLevelType w:val="hybridMultilevel"/>
    <w:tmpl w:val="88709BFC"/>
    <w:lvl w:ilvl="0" w:tplc="5EE02A6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B27FBB"/>
    <w:multiLevelType w:val="hybridMultilevel"/>
    <w:tmpl w:val="6BB8ED06"/>
    <w:lvl w:ilvl="0" w:tplc="318E994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E51CB2"/>
    <w:multiLevelType w:val="hybridMultilevel"/>
    <w:tmpl w:val="D7B604C0"/>
    <w:lvl w:ilvl="0" w:tplc="41166AC0">
      <w:numFmt w:val="bullet"/>
      <w:lvlText w:val="-"/>
      <w:lvlJc w:val="left"/>
      <w:pPr>
        <w:ind w:left="717" w:hanging="360"/>
      </w:pPr>
      <w:rPr>
        <w:rFonts w:ascii="Arial" w:eastAsiaTheme="minorHAnsi" w:hAnsi="Arial" w:cs="Aria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79EC2526"/>
    <w:multiLevelType w:val="hybridMultilevel"/>
    <w:tmpl w:val="37D06F3A"/>
    <w:lvl w:ilvl="0" w:tplc="C406AC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149706">
    <w:abstractNumId w:val="3"/>
  </w:num>
  <w:num w:numId="2" w16cid:durableId="1764186919">
    <w:abstractNumId w:val="2"/>
  </w:num>
  <w:num w:numId="3" w16cid:durableId="1630478181">
    <w:abstractNumId w:val="1"/>
  </w:num>
  <w:num w:numId="4" w16cid:durableId="175158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2B"/>
    <w:rsid w:val="00014EA3"/>
    <w:rsid w:val="000252C3"/>
    <w:rsid w:val="00034E8E"/>
    <w:rsid w:val="00093568"/>
    <w:rsid w:val="00094435"/>
    <w:rsid w:val="000B4E62"/>
    <w:rsid w:val="000E260A"/>
    <w:rsid w:val="001D1AFD"/>
    <w:rsid w:val="00267789"/>
    <w:rsid w:val="002733F4"/>
    <w:rsid w:val="002A2B23"/>
    <w:rsid w:val="002F0048"/>
    <w:rsid w:val="00327D53"/>
    <w:rsid w:val="003A25F5"/>
    <w:rsid w:val="0045525E"/>
    <w:rsid w:val="004961B8"/>
    <w:rsid w:val="004E27ED"/>
    <w:rsid w:val="00506E29"/>
    <w:rsid w:val="00530C5D"/>
    <w:rsid w:val="00586665"/>
    <w:rsid w:val="005E3830"/>
    <w:rsid w:val="005E6A10"/>
    <w:rsid w:val="0065624C"/>
    <w:rsid w:val="00666043"/>
    <w:rsid w:val="006A3DC2"/>
    <w:rsid w:val="00733BBA"/>
    <w:rsid w:val="0075780C"/>
    <w:rsid w:val="0085198F"/>
    <w:rsid w:val="008A5A69"/>
    <w:rsid w:val="008A7F5D"/>
    <w:rsid w:val="008C2A14"/>
    <w:rsid w:val="009008C7"/>
    <w:rsid w:val="0090154B"/>
    <w:rsid w:val="00A541E5"/>
    <w:rsid w:val="00AA62BF"/>
    <w:rsid w:val="00AB0D15"/>
    <w:rsid w:val="00AE7BCA"/>
    <w:rsid w:val="00B159A7"/>
    <w:rsid w:val="00B925BA"/>
    <w:rsid w:val="00B932B3"/>
    <w:rsid w:val="00B937A8"/>
    <w:rsid w:val="00BD7440"/>
    <w:rsid w:val="00C001EB"/>
    <w:rsid w:val="00C0799C"/>
    <w:rsid w:val="00C94C8E"/>
    <w:rsid w:val="00CB3A56"/>
    <w:rsid w:val="00CE0194"/>
    <w:rsid w:val="00CF01E7"/>
    <w:rsid w:val="00D37C8D"/>
    <w:rsid w:val="00DA11CB"/>
    <w:rsid w:val="00DB4976"/>
    <w:rsid w:val="00DE55AC"/>
    <w:rsid w:val="00E161E6"/>
    <w:rsid w:val="00EE0299"/>
    <w:rsid w:val="00EE37BE"/>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8AB1"/>
  <w15:chartTrackingRefBased/>
  <w15:docId w15:val="{F46C989F-109A-4178-B429-C8BC5E3F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8C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435"/>
  </w:style>
  <w:style w:type="paragraph" w:styleId="Footer">
    <w:name w:val="footer"/>
    <w:basedOn w:val="Normal"/>
    <w:link w:val="FooterChar"/>
    <w:uiPriority w:val="99"/>
    <w:unhideWhenUsed/>
    <w:rsid w:val="00094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35"/>
  </w:style>
  <w:style w:type="paragraph" w:styleId="ListParagraph">
    <w:name w:val="List Paragraph"/>
    <w:basedOn w:val="Normal"/>
    <w:uiPriority w:val="99"/>
    <w:qFormat/>
    <w:rsid w:val="00506E29"/>
    <w:pPr>
      <w:ind w:left="720"/>
      <w:contextualSpacing/>
    </w:pPr>
  </w:style>
  <w:style w:type="table" w:styleId="TableGrid">
    <w:name w:val="Table Grid"/>
    <w:basedOn w:val="TableNormal"/>
    <w:uiPriority w:val="39"/>
    <w:rsid w:val="0050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C2A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listparagraph">
    <w:name w:val="x_msolistparagraph"/>
    <w:basedOn w:val="Normal"/>
    <w:rsid w:val="00530C5D"/>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6</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Owen Beddow</cp:lastModifiedBy>
  <cp:revision>4</cp:revision>
  <dcterms:created xsi:type="dcterms:W3CDTF">2024-05-31T12:51:00Z</dcterms:created>
  <dcterms:modified xsi:type="dcterms:W3CDTF">2024-05-31T14:23:00Z</dcterms:modified>
</cp:coreProperties>
</file>