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830E4" w14:textId="2BB6A797" w:rsidR="009A34EB" w:rsidRPr="009A34EB" w:rsidRDefault="009A34EB" w:rsidP="009A34EB">
      <w:pPr>
        <w:jc w:val="right"/>
        <w:rPr>
          <w:rFonts w:ascii="Plaak 2 Griffon Regular" w:hAnsi="Plaak 2 Griffon Regular"/>
          <w:sz w:val="96"/>
          <w:szCs w:val="96"/>
        </w:rPr>
      </w:pPr>
      <w:r w:rsidRPr="009A34EB">
        <w:rPr>
          <w:rFonts w:ascii="Plaak 2 Griffon Regular" w:hAnsi="Plaak 2 Griffon Regular"/>
          <w:sz w:val="96"/>
          <w:szCs w:val="96"/>
        </w:rPr>
        <w:t>ATELIER.MB</w:t>
      </w:r>
    </w:p>
    <w:tbl>
      <w:tblPr>
        <w:tblStyle w:val="TableGrid"/>
        <w:tblW w:w="0" w:type="auto"/>
        <w:tblInd w:w="424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2642"/>
      </w:tblGrid>
      <w:tr w:rsidR="009A34EB" w14:paraId="1DC9089E" w14:textId="77777777" w:rsidTr="00C36CFF">
        <w:tc>
          <w:tcPr>
            <w:tcW w:w="212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B515B54" w14:textId="1CB91600" w:rsidR="009A34EB" w:rsidRPr="009A34EB" w:rsidRDefault="009A34EB" w:rsidP="009A34EB">
            <w:pPr>
              <w:jc w:val="right"/>
              <w:rPr>
                <w:rFonts w:ascii="Barlow" w:hAnsi="Barlow"/>
                <w:sz w:val="20"/>
                <w:szCs w:val="20"/>
              </w:rPr>
            </w:pPr>
            <w:r w:rsidRPr="009A34EB">
              <w:rPr>
                <w:rFonts w:ascii="Barlow" w:hAnsi="Barlow"/>
                <w:sz w:val="20"/>
                <w:szCs w:val="20"/>
              </w:rPr>
              <w:t>PROJECT</w:t>
            </w:r>
          </w:p>
        </w:tc>
        <w:tc>
          <w:tcPr>
            <w:tcW w:w="2642" w:type="dxa"/>
            <w:tcBorders>
              <w:left w:val="single" w:sz="4" w:space="0" w:color="auto"/>
            </w:tcBorders>
          </w:tcPr>
          <w:p w14:paraId="1B296309" w14:textId="68348C0F" w:rsidR="009A34EB" w:rsidRPr="009A34EB" w:rsidRDefault="009A34EB" w:rsidP="009A34EB">
            <w:pPr>
              <w:jc w:val="right"/>
              <w:rPr>
                <w:rFonts w:ascii="Barlow" w:hAnsi="Barlow"/>
                <w:sz w:val="20"/>
                <w:szCs w:val="20"/>
              </w:rPr>
            </w:pPr>
            <w:r w:rsidRPr="009A34EB">
              <w:rPr>
                <w:rFonts w:ascii="Barlow" w:hAnsi="Barlow"/>
                <w:sz w:val="20"/>
                <w:szCs w:val="20"/>
              </w:rPr>
              <w:t>77-79 MOSLEY STREET</w:t>
            </w:r>
          </w:p>
        </w:tc>
      </w:tr>
      <w:tr w:rsidR="009A34EB" w14:paraId="56D4E382" w14:textId="77777777" w:rsidTr="00C36CFF"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</w:tcPr>
          <w:p w14:paraId="445C5FA7" w14:textId="69003BC2" w:rsidR="009A34EB" w:rsidRPr="009A34EB" w:rsidRDefault="009A34EB" w:rsidP="009A34EB">
            <w:pPr>
              <w:jc w:val="right"/>
              <w:rPr>
                <w:rFonts w:ascii="Barlow" w:hAnsi="Barlow"/>
                <w:sz w:val="20"/>
                <w:szCs w:val="20"/>
              </w:rPr>
            </w:pPr>
            <w:r w:rsidRPr="009A34EB">
              <w:rPr>
                <w:rFonts w:ascii="Barlow" w:hAnsi="Barlow"/>
                <w:sz w:val="20"/>
                <w:szCs w:val="20"/>
              </w:rPr>
              <w:t>PROJECT REF</w:t>
            </w:r>
            <w:r w:rsidR="00C36CFF">
              <w:rPr>
                <w:rFonts w:ascii="Barlow" w:hAnsi="Barlow"/>
                <w:sz w:val="20"/>
                <w:szCs w:val="20"/>
              </w:rPr>
              <w:t>.</w:t>
            </w:r>
          </w:p>
        </w:tc>
        <w:tc>
          <w:tcPr>
            <w:tcW w:w="2642" w:type="dxa"/>
            <w:tcBorders>
              <w:left w:val="single" w:sz="4" w:space="0" w:color="auto"/>
            </w:tcBorders>
          </w:tcPr>
          <w:p w14:paraId="26CE63BC" w14:textId="5C93587F" w:rsidR="009A34EB" w:rsidRPr="009A34EB" w:rsidRDefault="009A34EB" w:rsidP="009A34EB">
            <w:pPr>
              <w:jc w:val="right"/>
              <w:rPr>
                <w:rFonts w:ascii="Barlow" w:hAnsi="Barlow"/>
                <w:sz w:val="20"/>
                <w:szCs w:val="20"/>
              </w:rPr>
            </w:pPr>
            <w:r w:rsidRPr="009A34EB">
              <w:rPr>
                <w:rFonts w:ascii="Barlow" w:hAnsi="Barlow"/>
                <w:sz w:val="20"/>
                <w:szCs w:val="20"/>
              </w:rPr>
              <w:t>1995</w:t>
            </w:r>
          </w:p>
        </w:tc>
      </w:tr>
      <w:tr w:rsidR="009A34EB" w14:paraId="4DFF5FF0" w14:textId="77777777" w:rsidTr="00C36CFF">
        <w:tc>
          <w:tcPr>
            <w:tcW w:w="212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028E59E" w14:textId="463E3595" w:rsidR="009A34EB" w:rsidRPr="009A34EB" w:rsidRDefault="009A34EB" w:rsidP="009A34EB">
            <w:pPr>
              <w:jc w:val="right"/>
              <w:rPr>
                <w:rFonts w:ascii="Barlow" w:hAnsi="Barlow"/>
                <w:sz w:val="20"/>
                <w:szCs w:val="20"/>
              </w:rPr>
            </w:pPr>
            <w:r w:rsidRPr="009A34EB">
              <w:rPr>
                <w:rFonts w:ascii="Barlow" w:hAnsi="Barlow"/>
                <w:sz w:val="20"/>
                <w:szCs w:val="20"/>
              </w:rPr>
              <w:t>DATE</w:t>
            </w:r>
          </w:p>
        </w:tc>
        <w:tc>
          <w:tcPr>
            <w:tcW w:w="2642" w:type="dxa"/>
            <w:tcBorders>
              <w:left w:val="single" w:sz="4" w:space="0" w:color="auto"/>
            </w:tcBorders>
          </w:tcPr>
          <w:p w14:paraId="7BFDADBF" w14:textId="01F5CCEC" w:rsidR="009A34EB" w:rsidRPr="009A34EB" w:rsidRDefault="009A34EB" w:rsidP="009A34EB">
            <w:pPr>
              <w:jc w:val="right"/>
              <w:rPr>
                <w:rFonts w:ascii="Barlow" w:hAnsi="Barlow"/>
                <w:sz w:val="20"/>
                <w:szCs w:val="20"/>
              </w:rPr>
            </w:pPr>
            <w:r w:rsidRPr="009A34EB">
              <w:rPr>
                <w:rFonts w:ascii="Barlow" w:hAnsi="Barlow"/>
                <w:sz w:val="20"/>
                <w:szCs w:val="20"/>
              </w:rPr>
              <w:t>MAY 2024</w:t>
            </w:r>
          </w:p>
        </w:tc>
      </w:tr>
    </w:tbl>
    <w:p w14:paraId="2E48798E" w14:textId="77777777" w:rsidR="009A34EB" w:rsidRPr="009A34EB" w:rsidRDefault="009A34EB" w:rsidP="009A34EB">
      <w:pPr>
        <w:jc w:val="right"/>
        <w:rPr>
          <w:rFonts w:ascii="Barlow" w:hAnsi="Barlow"/>
        </w:rPr>
      </w:pPr>
    </w:p>
    <w:p w14:paraId="470AF5DC" w14:textId="77777777" w:rsidR="005849CB" w:rsidRDefault="005849CB">
      <w:pPr>
        <w:rPr>
          <w:rFonts w:ascii="Barlow" w:hAnsi="Barlow"/>
          <w:b/>
          <w:bCs/>
        </w:rPr>
      </w:pPr>
    </w:p>
    <w:p w14:paraId="2CB005B2" w14:textId="7DEB4D8C" w:rsidR="00E36EE5" w:rsidRPr="00C36CFF" w:rsidRDefault="008D08E6">
      <w:pPr>
        <w:rPr>
          <w:rFonts w:ascii="Barlow" w:hAnsi="Barlow"/>
          <w:b/>
          <w:bCs/>
        </w:rPr>
      </w:pPr>
      <w:r w:rsidRPr="00C36CFF">
        <w:rPr>
          <w:rFonts w:ascii="Barlow" w:hAnsi="Barlow"/>
          <w:b/>
          <w:bCs/>
        </w:rPr>
        <w:t>COMMENTS ON WINDOW FR</w:t>
      </w:r>
      <w:r w:rsidR="0060185F" w:rsidRPr="00C36CFF">
        <w:rPr>
          <w:rFonts w:ascii="Barlow" w:hAnsi="Barlow"/>
          <w:b/>
          <w:bCs/>
        </w:rPr>
        <w:t>A</w:t>
      </w:r>
      <w:r w:rsidRPr="00C36CFF">
        <w:rPr>
          <w:rFonts w:ascii="Barlow" w:hAnsi="Barlow"/>
          <w:b/>
          <w:bCs/>
        </w:rPr>
        <w:t>ME PAINT SAMPLING</w:t>
      </w:r>
    </w:p>
    <w:p w14:paraId="1D6FCF6D" w14:textId="77777777" w:rsidR="008D08E6" w:rsidRPr="00C36CFF" w:rsidRDefault="008D08E6">
      <w:pPr>
        <w:rPr>
          <w:rFonts w:ascii="Barlow Medium" w:hAnsi="Barlow Medium"/>
        </w:rPr>
      </w:pPr>
    </w:p>
    <w:p w14:paraId="60E9EFE7" w14:textId="06EA8632" w:rsidR="008D08E6" w:rsidRPr="00C36CFF" w:rsidRDefault="008D08E6">
      <w:pPr>
        <w:rPr>
          <w:rFonts w:ascii="Barlow" w:hAnsi="Barlow"/>
        </w:rPr>
      </w:pPr>
      <w:r w:rsidRPr="00C36CFF">
        <w:rPr>
          <w:rFonts w:ascii="Barlow" w:hAnsi="Barlow"/>
        </w:rPr>
        <w:t>Paint sampling was carried out by Lincoln Conservation- to an example lightwell window</w:t>
      </w:r>
      <w:r w:rsidR="005849CB">
        <w:rPr>
          <w:rFonts w:ascii="Barlow" w:hAnsi="Barlow"/>
        </w:rPr>
        <w:t xml:space="preserve"> frame</w:t>
      </w:r>
      <w:r w:rsidRPr="00C36CFF">
        <w:rPr>
          <w:rFonts w:ascii="Barlow" w:hAnsi="Barlow"/>
        </w:rPr>
        <w:t xml:space="preserve"> and an example external façade window</w:t>
      </w:r>
      <w:r w:rsidR="005849CB">
        <w:rPr>
          <w:rFonts w:ascii="Barlow" w:hAnsi="Barlow"/>
        </w:rPr>
        <w:t xml:space="preserve"> frame</w:t>
      </w:r>
      <w:r w:rsidRPr="00C36CFF">
        <w:rPr>
          <w:rFonts w:ascii="Barlow" w:hAnsi="Barlow"/>
        </w:rPr>
        <w:t>. Inside and outside facing sides of the frame were sampled. All samples showed the same results – originally a varnished finish with faux wood graining to replicate the look of oak, progressively darker varnishes (sometimes redder)</w:t>
      </w:r>
      <w:r w:rsidR="00C36CFF">
        <w:rPr>
          <w:rFonts w:ascii="Barlow" w:hAnsi="Barlow"/>
        </w:rPr>
        <w:t xml:space="preserve"> over time</w:t>
      </w:r>
      <w:r w:rsidRPr="00C36CFF">
        <w:rPr>
          <w:rFonts w:ascii="Barlow" w:hAnsi="Barlow"/>
        </w:rPr>
        <w:t xml:space="preserve">, </w:t>
      </w:r>
      <w:r w:rsidR="00C36CFF">
        <w:rPr>
          <w:rFonts w:ascii="Barlow" w:hAnsi="Barlow"/>
        </w:rPr>
        <w:t xml:space="preserve">post WWII </w:t>
      </w:r>
      <w:r w:rsidRPr="00C36CFF">
        <w:rPr>
          <w:rFonts w:ascii="Barlow" w:hAnsi="Barlow"/>
        </w:rPr>
        <w:t>overpainted pale grey, overpainted cream, overpainted white.</w:t>
      </w:r>
    </w:p>
    <w:p w14:paraId="3DA2AEF6" w14:textId="77777777" w:rsidR="008D08E6" w:rsidRPr="00C36CFF" w:rsidRDefault="008D08E6">
      <w:pPr>
        <w:rPr>
          <w:rFonts w:ascii="Barlow" w:hAnsi="Barlow"/>
        </w:rPr>
      </w:pPr>
    </w:p>
    <w:p w14:paraId="2AFB2468" w14:textId="58D21846" w:rsidR="008D08E6" w:rsidRPr="00C36CFF" w:rsidRDefault="008D08E6">
      <w:pPr>
        <w:rPr>
          <w:rFonts w:ascii="Barlow" w:hAnsi="Barlow"/>
        </w:rPr>
      </w:pPr>
      <w:r w:rsidRPr="00C36CFF">
        <w:rPr>
          <w:rFonts w:ascii="Barlow" w:hAnsi="Barlow"/>
        </w:rPr>
        <w:t xml:space="preserve">It is not the intention to recreate </w:t>
      </w:r>
      <w:r w:rsidR="00797CE1">
        <w:rPr>
          <w:rFonts w:ascii="Barlow" w:hAnsi="Barlow"/>
        </w:rPr>
        <w:t>an imitation</w:t>
      </w:r>
      <w:r w:rsidRPr="00C36CFF">
        <w:rPr>
          <w:rFonts w:ascii="Barlow" w:hAnsi="Barlow"/>
        </w:rPr>
        <w:t xml:space="preserve"> wood finish in varnis</w:t>
      </w:r>
      <w:r w:rsidR="009F349A" w:rsidRPr="00C36CFF">
        <w:rPr>
          <w:rFonts w:ascii="Barlow" w:hAnsi="Barlow"/>
        </w:rPr>
        <w:t xml:space="preserve">h for the following reasons: </w:t>
      </w:r>
      <w:r w:rsidR="00797CE1">
        <w:rPr>
          <w:rFonts w:ascii="Barlow" w:hAnsi="Barlow"/>
        </w:rPr>
        <w:t xml:space="preserve">external </w:t>
      </w:r>
      <w:r w:rsidR="009F349A" w:rsidRPr="00C36CFF">
        <w:rPr>
          <w:rFonts w:ascii="Barlow" w:hAnsi="Barlow"/>
        </w:rPr>
        <w:t>varnish</w:t>
      </w:r>
      <w:r w:rsidR="0060185F" w:rsidRPr="00C36CFF">
        <w:rPr>
          <w:rFonts w:ascii="Barlow" w:hAnsi="Barlow"/>
        </w:rPr>
        <w:t xml:space="preserve"> has a propensity to crack and blister; </w:t>
      </w:r>
      <w:r w:rsidR="009F648E">
        <w:rPr>
          <w:rFonts w:ascii="Barlow" w:hAnsi="Barlow"/>
        </w:rPr>
        <w:t xml:space="preserve">this finish will not provide robust </w:t>
      </w:r>
      <w:r w:rsidR="00734768">
        <w:rPr>
          <w:rFonts w:ascii="Barlow" w:hAnsi="Barlow"/>
        </w:rPr>
        <w:t xml:space="preserve">long-term </w:t>
      </w:r>
      <w:r w:rsidR="009F648E">
        <w:rPr>
          <w:rFonts w:ascii="Barlow" w:hAnsi="Barlow"/>
        </w:rPr>
        <w:t>protection from the elements</w:t>
      </w:r>
      <w:r w:rsidR="003339C5">
        <w:rPr>
          <w:rFonts w:ascii="Barlow" w:hAnsi="Barlow"/>
        </w:rPr>
        <w:t xml:space="preserve"> and will require a </w:t>
      </w:r>
      <w:r w:rsidR="001361A5">
        <w:rPr>
          <w:rFonts w:ascii="Barlow" w:hAnsi="Barlow"/>
        </w:rPr>
        <w:t>significantly</w:t>
      </w:r>
      <w:r w:rsidR="003339C5">
        <w:rPr>
          <w:rFonts w:ascii="Barlow" w:hAnsi="Barlow"/>
        </w:rPr>
        <w:t xml:space="preserve"> higher level of repair and maintenance</w:t>
      </w:r>
      <w:r w:rsidR="00522339">
        <w:rPr>
          <w:rFonts w:ascii="Barlow" w:hAnsi="Barlow"/>
        </w:rPr>
        <w:t xml:space="preserve"> </w:t>
      </w:r>
      <w:r w:rsidR="008326C6">
        <w:rPr>
          <w:rFonts w:ascii="Barlow" w:hAnsi="Barlow"/>
        </w:rPr>
        <w:t>compared to</w:t>
      </w:r>
      <w:r w:rsidR="00522339">
        <w:rPr>
          <w:rFonts w:ascii="Barlow" w:hAnsi="Barlow"/>
        </w:rPr>
        <w:t xml:space="preserve"> </w:t>
      </w:r>
      <w:r w:rsidR="008326C6">
        <w:rPr>
          <w:rFonts w:ascii="Barlow" w:hAnsi="Barlow"/>
        </w:rPr>
        <w:t>a painted finish</w:t>
      </w:r>
      <w:r w:rsidR="003339C5">
        <w:rPr>
          <w:rFonts w:ascii="Barlow" w:hAnsi="Barlow"/>
        </w:rPr>
        <w:t xml:space="preserve">; </w:t>
      </w:r>
      <w:r w:rsidR="0060185F" w:rsidRPr="00C36CFF">
        <w:rPr>
          <w:rFonts w:ascii="Barlow" w:hAnsi="Barlow"/>
        </w:rPr>
        <w:t>the</w:t>
      </w:r>
      <w:r w:rsidR="00C36CFF">
        <w:rPr>
          <w:rFonts w:ascii="Barlow" w:hAnsi="Barlow"/>
        </w:rPr>
        <w:t xml:space="preserve"> technical</w:t>
      </w:r>
      <w:r w:rsidR="0060185F" w:rsidRPr="00C36CFF">
        <w:rPr>
          <w:rFonts w:ascii="Barlow" w:hAnsi="Barlow"/>
        </w:rPr>
        <w:t xml:space="preserve"> skills to recreate a faux wood finish in varnish are no longer commonplace; the cost to finish every window with this technique would be extremely high and the </w:t>
      </w:r>
      <w:r w:rsidR="00797CE1">
        <w:rPr>
          <w:rFonts w:ascii="Barlow" w:hAnsi="Barlow"/>
        </w:rPr>
        <w:t xml:space="preserve">inevitable ongoing </w:t>
      </w:r>
      <w:r w:rsidR="0060185F" w:rsidRPr="00C36CFF">
        <w:rPr>
          <w:rFonts w:ascii="Barlow" w:hAnsi="Barlow"/>
        </w:rPr>
        <w:t>repair impractical and unviable;</w:t>
      </w:r>
      <w:r w:rsidR="00727468">
        <w:rPr>
          <w:rFonts w:ascii="Barlow" w:hAnsi="Barlow"/>
        </w:rPr>
        <w:t xml:space="preserve"> to undertake the technique and keep it maintained would necessitate </w:t>
      </w:r>
      <w:r w:rsidR="001825FC">
        <w:rPr>
          <w:rFonts w:ascii="Barlow" w:hAnsi="Barlow"/>
        </w:rPr>
        <w:t xml:space="preserve">access from the outer side, meaning </w:t>
      </w:r>
      <w:r w:rsidR="00727468">
        <w:rPr>
          <w:rFonts w:ascii="Barlow" w:hAnsi="Barlow"/>
        </w:rPr>
        <w:t xml:space="preserve">a full building scaffold every </w:t>
      </w:r>
      <w:r w:rsidR="00522339">
        <w:rPr>
          <w:rFonts w:ascii="Barlow" w:hAnsi="Barlow"/>
        </w:rPr>
        <w:t>maintenance cycle</w:t>
      </w:r>
      <w:r w:rsidR="00347FE9">
        <w:rPr>
          <w:rFonts w:ascii="Barlow" w:hAnsi="Barlow"/>
        </w:rPr>
        <w:t xml:space="preserve"> </w:t>
      </w:r>
      <w:r w:rsidR="001825FC">
        <w:rPr>
          <w:rFonts w:ascii="Barlow" w:hAnsi="Barlow"/>
        </w:rPr>
        <w:t>(</w:t>
      </w:r>
      <w:r w:rsidR="00347FE9">
        <w:rPr>
          <w:rFonts w:ascii="Barlow" w:hAnsi="Barlow"/>
        </w:rPr>
        <w:t xml:space="preserve">the </w:t>
      </w:r>
      <w:r w:rsidR="002944AD">
        <w:rPr>
          <w:rFonts w:ascii="Barlow" w:hAnsi="Barlow"/>
        </w:rPr>
        <w:t>historical technique of painting from a window ledge is no longer an acceptable practice</w:t>
      </w:r>
      <w:r w:rsidR="001825FC">
        <w:rPr>
          <w:rFonts w:ascii="Barlow" w:hAnsi="Barlow"/>
        </w:rPr>
        <w:t>)</w:t>
      </w:r>
      <w:r w:rsidR="00522339">
        <w:rPr>
          <w:rFonts w:ascii="Barlow" w:hAnsi="Barlow"/>
        </w:rPr>
        <w:t>;</w:t>
      </w:r>
      <w:r w:rsidR="00347FE9">
        <w:rPr>
          <w:rFonts w:ascii="Barlow" w:hAnsi="Barlow"/>
        </w:rPr>
        <w:t xml:space="preserve"> </w:t>
      </w:r>
      <w:r w:rsidR="0060185F" w:rsidRPr="00C36CFF">
        <w:rPr>
          <w:rFonts w:ascii="Barlow" w:hAnsi="Barlow"/>
        </w:rPr>
        <w:t xml:space="preserve">the finished aesthetic is not </w:t>
      </w:r>
      <w:r w:rsidR="009F349A" w:rsidRPr="00C36CFF">
        <w:rPr>
          <w:rFonts w:ascii="Barlow" w:hAnsi="Barlow"/>
        </w:rPr>
        <w:t>in keeping</w:t>
      </w:r>
      <w:r w:rsidR="0060185F" w:rsidRPr="00C36CFF">
        <w:rPr>
          <w:rFonts w:ascii="Barlow" w:hAnsi="Barlow"/>
        </w:rPr>
        <w:t xml:space="preserve"> with the context of city centre as it exists in the 21</w:t>
      </w:r>
      <w:r w:rsidR="0060185F" w:rsidRPr="00C36CFF">
        <w:rPr>
          <w:rFonts w:ascii="Barlow" w:hAnsi="Barlow"/>
          <w:vertAlign w:val="superscript"/>
        </w:rPr>
        <w:t>st</w:t>
      </w:r>
      <w:r w:rsidR="0060185F" w:rsidRPr="00C36CFF">
        <w:rPr>
          <w:rFonts w:ascii="Barlow" w:hAnsi="Barlow"/>
        </w:rPr>
        <w:t xml:space="preserve"> century and would arguably detract from the building in </w:t>
      </w:r>
      <w:r w:rsidR="00C36CFF">
        <w:rPr>
          <w:rFonts w:ascii="Barlow" w:hAnsi="Barlow"/>
        </w:rPr>
        <w:t>visual</w:t>
      </w:r>
      <w:r w:rsidR="0060185F" w:rsidRPr="00C36CFF">
        <w:rPr>
          <w:rFonts w:ascii="Barlow" w:hAnsi="Barlow"/>
        </w:rPr>
        <w:t xml:space="preserve"> terms.</w:t>
      </w:r>
    </w:p>
    <w:p w14:paraId="3476BF43" w14:textId="77777777" w:rsidR="0060185F" w:rsidRPr="00C36CFF" w:rsidRDefault="0060185F">
      <w:pPr>
        <w:rPr>
          <w:rFonts w:ascii="Barlow" w:hAnsi="Barlow"/>
        </w:rPr>
      </w:pPr>
    </w:p>
    <w:p w14:paraId="31932E64" w14:textId="49CF9284" w:rsidR="0060185F" w:rsidRPr="00C36CFF" w:rsidRDefault="0060185F">
      <w:pPr>
        <w:rPr>
          <w:rFonts w:ascii="Barlow" w:hAnsi="Barlow"/>
        </w:rPr>
      </w:pPr>
      <w:r w:rsidRPr="00C36CFF">
        <w:rPr>
          <w:rFonts w:ascii="Barlow" w:hAnsi="Barlow"/>
        </w:rPr>
        <w:t>The property sits in the George Street Conservation Area, and opposite the Town Hall extension, within the setting of St Peter’s Square where several large-scale modern buildings are now sited</w:t>
      </w:r>
      <w:r w:rsidR="00C36CFF">
        <w:rPr>
          <w:rFonts w:ascii="Barlow" w:hAnsi="Barlow"/>
        </w:rPr>
        <w:t>, all of which have modern windows</w:t>
      </w:r>
      <w:r w:rsidRPr="00C36CFF">
        <w:rPr>
          <w:rFonts w:ascii="Barlow" w:hAnsi="Barlow"/>
        </w:rPr>
        <w:t xml:space="preserve">. An exercise has been completed to record the window frame treatment to listed buildings in the vicinity. </w:t>
      </w:r>
      <w:r w:rsidR="00797CE1">
        <w:rPr>
          <w:rFonts w:ascii="Barlow" w:hAnsi="Barlow"/>
        </w:rPr>
        <w:t xml:space="preserve">The majority of these are also former warehouses/offices. </w:t>
      </w:r>
      <w:r w:rsidRPr="00C36CFF">
        <w:rPr>
          <w:rFonts w:ascii="Barlow" w:hAnsi="Barlow"/>
        </w:rPr>
        <w:t>None of these buildings feature faux wood or varnish of any kind</w:t>
      </w:r>
      <w:r w:rsidR="00797CE1">
        <w:rPr>
          <w:rFonts w:ascii="Barlow" w:hAnsi="Barlow"/>
        </w:rPr>
        <w:t xml:space="preserve"> and almost all </w:t>
      </w:r>
      <w:r w:rsidRPr="00C36CFF">
        <w:rPr>
          <w:rFonts w:ascii="Barlow" w:hAnsi="Barlow"/>
        </w:rPr>
        <w:t>follow a dark colour scheme in very dark grey or dark blue</w:t>
      </w:r>
      <w:r w:rsidR="009F349A" w:rsidRPr="00C36CFF">
        <w:rPr>
          <w:rFonts w:ascii="Barlow" w:hAnsi="Barlow"/>
        </w:rPr>
        <w:t xml:space="preserve"> paint</w:t>
      </w:r>
      <w:r w:rsidRPr="00C36CFF">
        <w:rPr>
          <w:rFonts w:ascii="Barlow" w:hAnsi="Barlow"/>
        </w:rPr>
        <w:t xml:space="preserve">. </w:t>
      </w:r>
      <w:r w:rsidR="009F349A" w:rsidRPr="00C36CFF">
        <w:rPr>
          <w:rFonts w:ascii="Barlow" w:hAnsi="Barlow"/>
        </w:rPr>
        <w:t>Several properties on Princess Street have recently gained LBC for black paint finishes.</w:t>
      </w:r>
    </w:p>
    <w:p w14:paraId="4AB60A29" w14:textId="77777777" w:rsidR="009F349A" w:rsidRPr="00C36CFF" w:rsidRDefault="009F349A">
      <w:pPr>
        <w:rPr>
          <w:rFonts w:ascii="Barlow" w:hAnsi="Barlow"/>
        </w:rPr>
      </w:pPr>
    </w:p>
    <w:p w14:paraId="5ABADF3B" w14:textId="43AF1EB2" w:rsidR="0060185F" w:rsidRPr="002944AD" w:rsidRDefault="009F349A">
      <w:pPr>
        <w:rPr>
          <w:rFonts w:ascii="Barlow" w:hAnsi="Barlow"/>
        </w:rPr>
      </w:pPr>
      <w:r w:rsidRPr="00C36CFF">
        <w:rPr>
          <w:rFonts w:ascii="Barlow" w:hAnsi="Barlow"/>
        </w:rPr>
        <w:t xml:space="preserve">Typical Victorian paint colours for window frames were </w:t>
      </w:r>
      <w:r w:rsidR="00797CE1">
        <w:rPr>
          <w:rFonts w:ascii="Barlow" w:hAnsi="Barlow"/>
        </w:rPr>
        <w:t xml:space="preserve">shades of </w:t>
      </w:r>
      <w:r w:rsidRPr="00C36CFF">
        <w:rPr>
          <w:rFonts w:ascii="Barlow" w:hAnsi="Barlow"/>
        </w:rPr>
        <w:t xml:space="preserve">greens and browns, enabling atmospheric dirt to be less visible. </w:t>
      </w:r>
      <w:r w:rsidR="00797CE1">
        <w:rPr>
          <w:rFonts w:ascii="Barlow" w:hAnsi="Barlow"/>
        </w:rPr>
        <w:t>The</w:t>
      </w:r>
      <w:r w:rsidRPr="00C36CFF">
        <w:rPr>
          <w:rFonts w:ascii="Barlow" w:hAnsi="Barlow"/>
        </w:rPr>
        <w:t xml:space="preserve"> proposal is to use a dark green shade of paint, which </w:t>
      </w:r>
      <w:r w:rsidR="00C36CFF">
        <w:rPr>
          <w:rFonts w:ascii="Barlow" w:hAnsi="Barlow"/>
        </w:rPr>
        <w:t xml:space="preserve">is </w:t>
      </w:r>
      <w:r w:rsidR="00797CE1">
        <w:rPr>
          <w:rFonts w:ascii="Barlow" w:hAnsi="Barlow"/>
        </w:rPr>
        <w:t xml:space="preserve">extremely </w:t>
      </w:r>
      <w:r w:rsidR="00C36CFF">
        <w:rPr>
          <w:rFonts w:ascii="Barlow" w:hAnsi="Barlow"/>
        </w:rPr>
        <w:t>widespread in</w:t>
      </w:r>
      <w:r w:rsidRPr="00C36CFF">
        <w:rPr>
          <w:rFonts w:ascii="Barlow" w:hAnsi="Barlow"/>
        </w:rPr>
        <w:t xml:space="preserve"> numerous listed former warehouses across the cit</w:t>
      </w:r>
      <w:r w:rsidR="00797CE1">
        <w:rPr>
          <w:rFonts w:ascii="Barlow" w:hAnsi="Barlow"/>
        </w:rPr>
        <w:t>y</w:t>
      </w:r>
      <w:r w:rsidRPr="00C36CFF">
        <w:rPr>
          <w:rFonts w:ascii="Barlow" w:hAnsi="Barlow"/>
        </w:rPr>
        <w:t>. This colour palet</w:t>
      </w:r>
      <w:r w:rsidR="005849CB">
        <w:rPr>
          <w:rFonts w:ascii="Barlow" w:hAnsi="Barlow"/>
        </w:rPr>
        <w:t>t</w:t>
      </w:r>
      <w:r w:rsidR="00797CE1">
        <w:rPr>
          <w:rFonts w:ascii="Barlow" w:hAnsi="Barlow"/>
        </w:rPr>
        <w:t>e</w:t>
      </w:r>
      <w:r w:rsidRPr="00C36CFF">
        <w:rPr>
          <w:rFonts w:ascii="Barlow" w:hAnsi="Barlow"/>
        </w:rPr>
        <w:t xml:space="preserve"> is consistent with shades </w:t>
      </w:r>
      <w:r w:rsidR="00C36CFF">
        <w:rPr>
          <w:rFonts w:ascii="Barlow" w:hAnsi="Barlow"/>
        </w:rPr>
        <w:t xml:space="preserve">typically </w:t>
      </w:r>
      <w:r w:rsidRPr="00C36CFF">
        <w:rPr>
          <w:rFonts w:ascii="Barlow" w:hAnsi="Barlow"/>
        </w:rPr>
        <w:t>used in the late 19</w:t>
      </w:r>
      <w:r w:rsidRPr="00C36CFF">
        <w:rPr>
          <w:rFonts w:ascii="Barlow" w:hAnsi="Barlow"/>
          <w:vertAlign w:val="superscript"/>
        </w:rPr>
        <w:t>th</w:t>
      </w:r>
      <w:r w:rsidRPr="00C36CFF">
        <w:rPr>
          <w:rFonts w:ascii="Barlow" w:hAnsi="Barlow"/>
        </w:rPr>
        <w:t xml:space="preserve"> century and is considered a</w:t>
      </w:r>
      <w:r w:rsidR="00797CE1">
        <w:rPr>
          <w:rFonts w:ascii="Barlow" w:hAnsi="Barlow"/>
        </w:rPr>
        <w:t xml:space="preserve"> wholly</w:t>
      </w:r>
      <w:r w:rsidRPr="00C36CFF">
        <w:rPr>
          <w:rFonts w:ascii="Barlow" w:hAnsi="Barlow"/>
        </w:rPr>
        <w:t xml:space="preserve"> appropriate choice. It will ensure timbers are protected and will not harm the architectural or historical </w:t>
      </w:r>
      <w:r w:rsidR="00C36CFF">
        <w:rPr>
          <w:rFonts w:ascii="Barlow" w:hAnsi="Barlow"/>
        </w:rPr>
        <w:t>significance</w:t>
      </w:r>
      <w:r w:rsidRPr="00C36CFF">
        <w:rPr>
          <w:rFonts w:ascii="Barlow" w:hAnsi="Barlow"/>
        </w:rPr>
        <w:t xml:space="preserve"> of the listed building or the Conservation Area.</w:t>
      </w:r>
    </w:p>
    <w:sectPr w:rsidR="0060185F" w:rsidRPr="002944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laak 2 Griffon Regular">
    <w:panose1 w:val="02000000000000000000"/>
    <w:charset w:val="00"/>
    <w:family w:val="auto"/>
    <w:notTrueType/>
    <w:pitch w:val="variable"/>
    <w:sig w:usb0="00000007" w:usb1="00000001" w:usb2="00000000" w:usb3="00000000" w:csb0="00000093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Barlow Medium">
    <w:panose1 w:val="00000600000000000000"/>
    <w:charset w:val="4D"/>
    <w:family w:val="auto"/>
    <w:pitch w:val="variable"/>
    <w:sig w:usb0="20000007" w:usb1="00000000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E6"/>
    <w:rsid w:val="001079EB"/>
    <w:rsid w:val="001361A5"/>
    <w:rsid w:val="001411BD"/>
    <w:rsid w:val="001825FC"/>
    <w:rsid w:val="001834B6"/>
    <w:rsid w:val="002944AD"/>
    <w:rsid w:val="003339C5"/>
    <w:rsid w:val="00347FE9"/>
    <w:rsid w:val="00522339"/>
    <w:rsid w:val="005849CB"/>
    <w:rsid w:val="0060185F"/>
    <w:rsid w:val="00727468"/>
    <w:rsid w:val="00734768"/>
    <w:rsid w:val="00797CE1"/>
    <w:rsid w:val="008326C6"/>
    <w:rsid w:val="008D08E6"/>
    <w:rsid w:val="009A34EB"/>
    <w:rsid w:val="009A42A1"/>
    <w:rsid w:val="009F349A"/>
    <w:rsid w:val="009F648E"/>
    <w:rsid w:val="00B22822"/>
    <w:rsid w:val="00C36CFF"/>
    <w:rsid w:val="00E36EE5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6D6F20"/>
  <w15:chartTrackingRefBased/>
  <w15:docId w15:val="{DEBC0BDA-21C1-CF45-B64C-2E16AB0A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08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08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8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08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08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08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08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8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8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8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8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8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08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08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08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08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8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8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08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0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08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0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08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08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08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08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8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8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08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3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2B3E8468E015448A3133AA3D02E376" ma:contentTypeVersion="15" ma:contentTypeDescription="Create a new document." ma:contentTypeScope="" ma:versionID="653de0367b28aa7b9716e8557a6e193e">
  <xsd:schema xmlns:xsd="http://www.w3.org/2001/XMLSchema" xmlns:xs="http://www.w3.org/2001/XMLSchema" xmlns:p="http://schemas.microsoft.com/office/2006/metadata/properties" xmlns:ns2="0ad95775-ae94-49a2-9764-9bcee3c11122" xmlns:ns3="2c929064-77d6-4059-8111-39f739dc8d66" targetNamespace="http://schemas.microsoft.com/office/2006/metadata/properties" ma:root="true" ma:fieldsID="1bd28e54a78e91c2bdb8040e95e1e4e0" ns2:_="" ns3:_="">
    <xsd:import namespace="0ad95775-ae94-49a2-9764-9bcee3c11122"/>
    <xsd:import namespace="2c929064-77d6-4059-8111-39f739dc8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95775-ae94-49a2-9764-9bcee3c111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b4963ac-5873-4761-b18e-1476d077cd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29064-77d6-4059-8111-39f739dc8d6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3f0466b-b9bf-4bba-9e08-cbf79b09e151}" ma:internalName="TaxCatchAll" ma:showField="CatchAllData" ma:web="2c929064-77d6-4059-8111-39f739dc8d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910224-AD02-4C98-8923-C104D49FC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85C218-8C10-4D4A-A632-92AF09DBE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d95775-ae94-49a2-9764-9bcee3c11122"/>
    <ds:schemaRef ds:uri="2c929064-77d6-4059-8111-39f739dc8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Jessup</dc:creator>
  <cp:keywords/>
  <dc:description/>
  <cp:lastModifiedBy>Laura Jessup</cp:lastModifiedBy>
  <cp:revision>12</cp:revision>
  <dcterms:created xsi:type="dcterms:W3CDTF">2024-05-22T08:41:00Z</dcterms:created>
  <dcterms:modified xsi:type="dcterms:W3CDTF">2024-05-28T15:12:00Z</dcterms:modified>
</cp:coreProperties>
</file>