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2A9297" w14:textId="6597B14E" w:rsidR="001F701C" w:rsidRDefault="001F701C"/>
    <w:p w14:paraId="0779EF88" w14:textId="77777777" w:rsidR="00B44C4D" w:rsidRDefault="00B44C4D"/>
    <w:p w14:paraId="6BE6E0FC" w14:textId="77777777" w:rsidR="00B44C4D" w:rsidRDefault="00B44C4D"/>
    <w:p w14:paraId="135226AD" w14:textId="77777777" w:rsidR="00B44C4D" w:rsidRDefault="00B44C4D"/>
    <w:p w14:paraId="51A26961" w14:textId="77777777" w:rsidR="00B44C4D" w:rsidRDefault="00B44C4D"/>
    <w:p w14:paraId="5EB1805C" w14:textId="77777777" w:rsidR="00B44C4D" w:rsidRDefault="00B44C4D"/>
    <w:p w14:paraId="5A962642" w14:textId="77777777" w:rsidR="00B44C4D" w:rsidRDefault="00B44C4D"/>
    <w:p w14:paraId="4D468DD7" w14:textId="77777777" w:rsidR="00B44C4D" w:rsidRDefault="00B44C4D"/>
    <w:p w14:paraId="1ECDCC06" w14:textId="77777777" w:rsidR="00B44C4D" w:rsidRPr="00B44C4D" w:rsidRDefault="00B44C4D" w:rsidP="00B44C4D">
      <w:pPr>
        <w:rPr>
          <w:rFonts w:asciiTheme="majorHAnsi" w:hAnsiTheme="majorHAnsi" w:cs="Arial"/>
          <w:sz w:val="22"/>
          <w:szCs w:val="22"/>
        </w:rPr>
      </w:pPr>
    </w:p>
    <w:p w14:paraId="4A1F9641" w14:textId="77777777" w:rsidR="007D79EA" w:rsidRPr="00B44C4D" w:rsidRDefault="007D79EA" w:rsidP="007D79EA">
      <w:pPr>
        <w:rPr>
          <w:rFonts w:asciiTheme="majorHAnsi" w:hAnsiTheme="majorHAnsi" w:cs="Arial"/>
          <w:sz w:val="22"/>
          <w:szCs w:val="22"/>
        </w:rPr>
      </w:pPr>
    </w:p>
    <w:p w14:paraId="38D409B0" w14:textId="77777777" w:rsidR="007D79EA" w:rsidRPr="007D79EA" w:rsidRDefault="007D79EA" w:rsidP="007D79EA">
      <w:pPr>
        <w:rPr>
          <w:rFonts w:asciiTheme="majorHAnsi" w:hAnsiTheme="majorHAnsi"/>
          <w:b/>
          <w:sz w:val="52"/>
        </w:rPr>
      </w:pPr>
      <w:r w:rsidRPr="007D79EA">
        <w:rPr>
          <w:rFonts w:asciiTheme="majorHAnsi" w:hAnsiTheme="majorHAnsi"/>
          <w:b/>
          <w:sz w:val="52"/>
        </w:rPr>
        <w:t xml:space="preserve">Affordable Housing Statement </w:t>
      </w:r>
    </w:p>
    <w:p w14:paraId="3984891E" w14:textId="77777777" w:rsidR="007D79EA" w:rsidRDefault="007D79EA" w:rsidP="007D79EA">
      <w:pPr>
        <w:rPr>
          <w:rFonts w:asciiTheme="majorHAnsi" w:hAnsiTheme="majorHAnsi" w:cs="Arial"/>
          <w:b/>
          <w:sz w:val="22"/>
          <w:szCs w:val="22"/>
        </w:rPr>
      </w:pPr>
    </w:p>
    <w:p w14:paraId="3BE31708" w14:textId="0790EAB1" w:rsidR="007D79EA" w:rsidRPr="007D79EA" w:rsidRDefault="007D79EA" w:rsidP="007D79EA">
      <w:pPr>
        <w:pStyle w:val="Heading1"/>
        <w:rPr>
          <w:color w:val="auto"/>
          <w:sz w:val="32"/>
        </w:rPr>
      </w:pPr>
      <w:r w:rsidRPr="007D79EA">
        <w:rPr>
          <w:color w:val="auto"/>
          <w:sz w:val="32"/>
        </w:rPr>
        <w:t>Residential development comprising</w:t>
      </w:r>
      <w:r w:rsidR="00466BCE">
        <w:rPr>
          <w:color w:val="auto"/>
          <w:sz w:val="32"/>
        </w:rPr>
        <w:t xml:space="preserve"> 15 </w:t>
      </w:r>
      <w:r w:rsidRPr="007D79EA">
        <w:rPr>
          <w:color w:val="auto"/>
          <w:sz w:val="32"/>
        </w:rPr>
        <w:t xml:space="preserve">apartments and </w:t>
      </w:r>
      <w:r w:rsidR="00466BCE">
        <w:rPr>
          <w:color w:val="auto"/>
          <w:sz w:val="32"/>
        </w:rPr>
        <w:t>8</w:t>
      </w:r>
      <w:r w:rsidRPr="007D79EA">
        <w:rPr>
          <w:color w:val="auto"/>
          <w:sz w:val="32"/>
        </w:rPr>
        <w:t xml:space="preserve"> houses with associated works </w:t>
      </w:r>
      <w:r w:rsidR="00D60080">
        <w:rPr>
          <w:color w:val="auto"/>
          <w:sz w:val="32"/>
        </w:rPr>
        <w:t>–</w:t>
      </w:r>
      <w:r w:rsidRPr="007D79EA">
        <w:rPr>
          <w:color w:val="auto"/>
          <w:sz w:val="32"/>
        </w:rPr>
        <w:t xml:space="preserve"> </w:t>
      </w:r>
      <w:proofErr w:type="spellStart"/>
      <w:r w:rsidR="00D60080">
        <w:rPr>
          <w:color w:val="auto"/>
          <w:sz w:val="32"/>
        </w:rPr>
        <w:t>Greenbrow</w:t>
      </w:r>
      <w:proofErr w:type="spellEnd"/>
      <w:r w:rsidR="00D60080">
        <w:rPr>
          <w:color w:val="auto"/>
          <w:sz w:val="32"/>
        </w:rPr>
        <w:t xml:space="preserve"> Social Club, </w:t>
      </w:r>
      <w:proofErr w:type="spellStart"/>
      <w:r w:rsidR="00032CD0" w:rsidRPr="00032CD0">
        <w:rPr>
          <w:color w:val="auto"/>
          <w:sz w:val="32"/>
        </w:rPr>
        <w:t>Greenbrow</w:t>
      </w:r>
      <w:proofErr w:type="spellEnd"/>
      <w:r w:rsidR="00032CD0" w:rsidRPr="00032CD0">
        <w:rPr>
          <w:color w:val="auto"/>
          <w:sz w:val="32"/>
        </w:rPr>
        <w:t xml:space="preserve"> Rd, </w:t>
      </w:r>
      <w:proofErr w:type="spellStart"/>
      <w:r w:rsidR="00032CD0" w:rsidRPr="00032CD0">
        <w:rPr>
          <w:color w:val="auto"/>
          <w:sz w:val="32"/>
        </w:rPr>
        <w:t>Wythenshawe</w:t>
      </w:r>
      <w:proofErr w:type="spellEnd"/>
      <w:r w:rsidR="00032CD0" w:rsidRPr="00032CD0">
        <w:rPr>
          <w:color w:val="auto"/>
          <w:sz w:val="32"/>
        </w:rPr>
        <w:t>, Manchester M23 2TU</w:t>
      </w:r>
    </w:p>
    <w:p w14:paraId="11F76979" w14:textId="77777777" w:rsidR="007D79EA" w:rsidRPr="007D79EA" w:rsidRDefault="007D79EA" w:rsidP="007D79EA">
      <w:pPr>
        <w:pStyle w:val="Heading1"/>
        <w:rPr>
          <w:color w:val="auto"/>
          <w:sz w:val="32"/>
        </w:rPr>
      </w:pPr>
      <w:r w:rsidRPr="007D79EA">
        <w:rPr>
          <w:color w:val="auto"/>
          <w:sz w:val="32"/>
        </w:rPr>
        <w:t xml:space="preserve">For Wythenshawe Community Housing Group </w:t>
      </w:r>
    </w:p>
    <w:p w14:paraId="5B95F915" w14:textId="77777777" w:rsidR="007D79EA" w:rsidRDefault="007D79EA" w:rsidP="007D79EA">
      <w:pPr>
        <w:pStyle w:val="Heading1"/>
        <w:rPr>
          <w:color w:val="auto"/>
        </w:rPr>
      </w:pPr>
    </w:p>
    <w:p w14:paraId="293610CC" w14:textId="77777777" w:rsidR="007D79EA" w:rsidRPr="007D79EA" w:rsidRDefault="007D79EA" w:rsidP="007D79EA"/>
    <w:p w14:paraId="1A2F1D4E" w14:textId="77777777" w:rsidR="007D79EA" w:rsidRDefault="007D79EA" w:rsidP="007D79EA">
      <w:pPr>
        <w:pStyle w:val="Heading1"/>
        <w:rPr>
          <w:color w:val="auto"/>
        </w:rPr>
      </w:pPr>
    </w:p>
    <w:p w14:paraId="1C83FFD9" w14:textId="77777777" w:rsidR="007D79EA" w:rsidRDefault="007D79EA" w:rsidP="007D79EA">
      <w:pPr>
        <w:pStyle w:val="Heading1"/>
        <w:rPr>
          <w:color w:val="auto"/>
        </w:rPr>
      </w:pPr>
    </w:p>
    <w:p w14:paraId="0EFAD864" w14:textId="77777777" w:rsidR="007D79EA" w:rsidRDefault="007D79EA" w:rsidP="007D79EA">
      <w:pPr>
        <w:pStyle w:val="Heading1"/>
        <w:rPr>
          <w:color w:val="auto"/>
        </w:rPr>
      </w:pPr>
    </w:p>
    <w:p w14:paraId="484C1C6A" w14:textId="77777777" w:rsidR="007D79EA" w:rsidRDefault="007D79EA" w:rsidP="007D79EA">
      <w:pPr>
        <w:pStyle w:val="Heading1"/>
        <w:rPr>
          <w:color w:val="auto"/>
        </w:rPr>
      </w:pPr>
    </w:p>
    <w:p w14:paraId="2AEAEF2B" w14:textId="77777777" w:rsidR="007D79EA" w:rsidRDefault="007D79EA" w:rsidP="007D79EA">
      <w:pPr>
        <w:pStyle w:val="Heading1"/>
        <w:rPr>
          <w:color w:val="auto"/>
        </w:rPr>
      </w:pPr>
    </w:p>
    <w:p w14:paraId="23818853" w14:textId="47C0E4DF" w:rsidR="007D79EA" w:rsidRPr="007D79EA" w:rsidRDefault="007D79EA" w:rsidP="007D79EA">
      <w:pPr>
        <w:pStyle w:val="Heading1"/>
        <w:rPr>
          <w:color w:val="auto"/>
        </w:rPr>
      </w:pPr>
      <w:r w:rsidRPr="007D79EA">
        <w:rPr>
          <w:color w:val="auto"/>
        </w:rPr>
        <w:t xml:space="preserve">Author: </w:t>
      </w:r>
      <w:r w:rsidR="00032CD0">
        <w:rPr>
          <w:color w:val="auto"/>
        </w:rPr>
        <w:t>James Garner, Project Manager</w:t>
      </w:r>
      <w:r w:rsidRPr="007D79EA">
        <w:rPr>
          <w:color w:val="auto"/>
        </w:rPr>
        <w:t xml:space="preserve">, </w:t>
      </w:r>
      <w:proofErr w:type="spellStart"/>
      <w:r w:rsidRPr="007D79EA">
        <w:rPr>
          <w:color w:val="auto"/>
        </w:rPr>
        <w:t>Wythenshawe</w:t>
      </w:r>
      <w:proofErr w:type="spellEnd"/>
      <w:r w:rsidRPr="007D79EA">
        <w:rPr>
          <w:color w:val="auto"/>
        </w:rPr>
        <w:t xml:space="preserve"> Community Housing Group</w:t>
      </w:r>
    </w:p>
    <w:p w14:paraId="3B57AEFF" w14:textId="7AB95FF4" w:rsidR="007D79EA" w:rsidRPr="007D79EA" w:rsidRDefault="007D79EA" w:rsidP="007D79EA">
      <w:pPr>
        <w:pStyle w:val="Heading1"/>
        <w:rPr>
          <w:color w:val="auto"/>
        </w:rPr>
      </w:pPr>
      <w:r w:rsidRPr="007D79EA">
        <w:rPr>
          <w:color w:val="auto"/>
        </w:rPr>
        <w:t xml:space="preserve">Date: </w:t>
      </w:r>
      <w:r w:rsidR="007F22B5">
        <w:rPr>
          <w:color w:val="auto"/>
        </w:rPr>
        <w:t>June</w:t>
      </w:r>
      <w:r w:rsidR="00032CD0">
        <w:rPr>
          <w:color w:val="auto"/>
        </w:rPr>
        <w:t xml:space="preserve"> 202</w:t>
      </w:r>
      <w:r w:rsidR="007F22B5">
        <w:rPr>
          <w:color w:val="auto"/>
        </w:rPr>
        <w:t>4</w:t>
      </w:r>
    </w:p>
    <w:p w14:paraId="4C9E5603" w14:textId="77777777" w:rsidR="007D79EA" w:rsidRDefault="007D79EA" w:rsidP="007D79EA">
      <w:pPr>
        <w:rPr>
          <w:rFonts w:asciiTheme="majorHAnsi" w:hAnsiTheme="majorHAnsi" w:cs="Arial"/>
          <w:b/>
          <w:sz w:val="22"/>
          <w:szCs w:val="22"/>
        </w:rPr>
      </w:pPr>
    </w:p>
    <w:p w14:paraId="1ED7CCC0" w14:textId="77777777" w:rsidR="007D79EA" w:rsidRDefault="007D79EA" w:rsidP="007D79EA">
      <w:pPr>
        <w:rPr>
          <w:rFonts w:asciiTheme="majorHAnsi" w:hAnsiTheme="majorHAnsi" w:cs="Arial"/>
          <w:b/>
          <w:sz w:val="22"/>
          <w:szCs w:val="22"/>
        </w:rPr>
      </w:pPr>
    </w:p>
    <w:p w14:paraId="403D53CE" w14:textId="77777777" w:rsidR="007D79EA" w:rsidRDefault="007D79EA" w:rsidP="007D79EA">
      <w:pPr>
        <w:rPr>
          <w:rFonts w:asciiTheme="majorHAnsi" w:hAnsiTheme="majorHAnsi" w:cs="Arial"/>
          <w:b/>
          <w:sz w:val="22"/>
          <w:szCs w:val="22"/>
        </w:rPr>
      </w:pPr>
    </w:p>
    <w:p w14:paraId="0BC4CFCB" w14:textId="77777777" w:rsidR="007D79EA" w:rsidRDefault="007D79EA" w:rsidP="007D79EA">
      <w:pPr>
        <w:rPr>
          <w:rFonts w:asciiTheme="majorHAnsi" w:hAnsiTheme="majorHAnsi" w:cs="Arial"/>
          <w:b/>
          <w:sz w:val="22"/>
          <w:szCs w:val="22"/>
        </w:rPr>
      </w:pPr>
    </w:p>
    <w:p w14:paraId="18645CF0" w14:textId="77777777" w:rsidR="007D79EA" w:rsidRDefault="007D79EA" w:rsidP="007D79EA">
      <w:pPr>
        <w:rPr>
          <w:rFonts w:asciiTheme="majorHAnsi" w:hAnsiTheme="majorHAnsi" w:cs="Arial"/>
          <w:b/>
          <w:sz w:val="22"/>
          <w:szCs w:val="22"/>
        </w:rPr>
      </w:pPr>
    </w:p>
    <w:p w14:paraId="57D69A2B" w14:textId="77777777" w:rsidR="007D79EA" w:rsidRDefault="007D79EA" w:rsidP="007D79EA">
      <w:pPr>
        <w:rPr>
          <w:rFonts w:asciiTheme="majorHAnsi" w:hAnsiTheme="majorHAnsi" w:cs="Arial"/>
          <w:b/>
          <w:sz w:val="22"/>
          <w:szCs w:val="22"/>
        </w:rPr>
      </w:pPr>
    </w:p>
    <w:p w14:paraId="5EE55B35" w14:textId="77777777" w:rsidR="007D79EA" w:rsidRDefault="007D79EA" w:rsidP="007D79EA">
      <w:pPr>
        <w:rPr>
          <w:rFonts w:asciiTheme="majorHAnsi" w:hAnsiTheme="majorHAnsi" w:cs="Arial"/>
          <w:b/>
          <w:sz w:val="22"/>
          <w:szCs w:val="22"/>
        </w:rPr>
      </w:pPr>
    </w:p>
    <w:p w14:paraId="1FE8D633" w14:textId="77777777" w:rsidR="007D79EA" w:rsidRDefault="007D79EA" w:rsidP="007D79EA">
      <w:pPr>
        <w:rPr>
          <w:rFonts w:asciiTheme="majorHAnsi" w:hAnsiTheme="majorHAnsi" w:cs="Arial"/>
          <w:b/>
          <w:sz w:val="22"/>
          <w:szCs w:val="22"/>
        </w:rPr>
      </w:pPr>
    </w:p>
    <w:p w14:paraId="1382451B" w14:textId="77777777" w:rsidR="007D79EA" w:rsidRDefault="007D79EA" w:rsidP="007D79EA">
      <w:pPr>
        <w:rPr>
          <w:rFonts w:asciiTheme="majorHAnsi" w:hAnsiTheme="majorHAnsi" w:cs="Arial"/>
          <w:b/>
          <w:sz w:val="22"/>
          <w:szCs w:val="22"/>
        </w:rPr>
      </w:pPr>
    </w:p>
    <w:p w14:paraId="12CDC6A1" w14:textId="77777777" w:rsidR="00897B69" w:rsidRDefault="00897B69" w:rsidP="00897B69">
      <w:pPr>
        <w:pStyle w:val="NoSpacing"/>
        <w:rPr>
          <w:rFonts w:asciiTheme="majorHAnsi" w:eastAsiaTheme="majorEastAsia" w:hAnsiTheme="majorHAnsi" w:cstheme="majorBidi"/>
          <w:spacing w:val="5"/>
          <w:kern w:val="28"/>
          <w:sz w:val="48"/>
          <w:szCs w:val="48"/>
        </w:rPr>
      </w:pPr>
    </w:p>
    <w:p w14:paraId="339947AE" w14:textId="77777777" w:rsidR="007D79EA" w:rsidRPr="00897B69" w:rsidRDefault="007D79EA" w:rsidP="00897B69">
      <w:pPr>
        <w:pStyle w:val="NoSpacing"/>
        <w:rPr>
          <w:rFonts w:asciiTheme="majorHAnsi" w:hAnsiTheme="majorHAnsi"/>
          <w:sz w:val="48"/>
          <w:szCs w:val="48"/>
        </w:rPr>
      </w:pPr>
      <w:r w:rsidRPr="00897B69">
        <w:rPr>
          <w:rFonts w:asciiTheme="majorHAnsi" w:hAnsiTheme="majorHAnsi"/>
          <w:sz w:val="48"/>
          <w:szCs w:val="48"/>
        </w:rPr>
        <w:t>Contents:</w:t>
      </w:r>
    </w:p>
    <w:p w14:paraId="1A5F9D74" w14:textId="77777777" w:rsidR="007D79EA" w:rsidRDefault="007D79EA" w:rsidP="007D79EA">
      <w:pPr>
        <w:rPr>
          <w:rFonts w:asciiTheme="majorHAnsi" w:hAnsiTheme="majorHAnsi" w:cs="Arial"/>
          <w:b/>
          <w:sz w:val="22"/>
          <w:szCs w:val="22"/>
        </w:rPr>
      </w:pPr>
    </w:p>
    <w:p w14:paraId="61282A4E" w14:textId="77777777" w:rsidR="007D79EA" w:rsidRDefault="007D79EA" w:rsidP="007D79EA">
      <w:pPr>
        <w:pStyle w:val="ListParagraph"/>
        <w:numPr>
          <w:ilvl w:val="0"/>
          <w:numId w:val="1"/>
        </w:numPr>
        <w:rPr>
          <w:rFonts w:asciiTheme="majorHAnsi" w:hAnsiTheme="majorHAnsi" w:cs="Arial"/>
          <w:b/>
          <w:sz w:val="22"/>
          <w:szCs w:val="22"/>
        </w:rPr>
      </w:pPr>
      <w:r>
        <w:rPr>
          <w:rFonts w:asciiTheme="majorHAnsi" w:hAnsiTheme="majorHAnsi" w:cs="Arial"/>
          <w:b/>
          <w:sz w:val="22"/>
          <w:szCs w:val="22"/>
        </w:rPr>
        <w:t xml:space="preserve">Background </w:t>
      </w:r>
    </w:p>
    <w:p w14:paraId="5CEBD0E5" w14:textId="77777777" w:rsidR="007D79EA" w:rsidRDefault="007D79EA" w:rsidP="007D79EA">
      <w:pPr>
        <w:pStyle w:val="ListParagraph"/>
        <w:numPr>
          <w:ilvl w:val="0"/>
          <w:numId w:val="1"/>
        </w:numPr>
        <w:rPr>
          <w:rFonts w:asciiTheme="majorHAnsi" w:hAnsiTheme="majorHAnsi" w:cs="Arial"/>
          <w:b/>
          <w:sz w:val="22"/>
          <w:szCs w:val="22"/>
        </w:rPr>
      </w:pPr>
      <w:r>
        <w:rPr>
          <w:rFonts w:asciiTheme="majorHAnsi" w:hAnsiTheme="majorHAnsi" w:cs="Arial"/>
          <w:b/>
          <w:sz w:val="22"/>
          <w:szCs w:val="22"/>
        </w:rPr>
        <w:t>Introduction</w:t>
      </w:r>
    </w:p>
    <w:p w14:paraId="5DB9C3DF" w14:textId="77777777" w:rsidR="007D79EA" w:rsidRDefault="007D79EA" w:rsidP="007D79EA">
      <w:pPr>
        <w:pStyle w:val="ListParagraph"/>
        <w:numPr>
          <w:ilvl w:val="0"/>
          <w:numId w:val="1"/>
        </w:numPr>
        <w:rPr>
          <w:rFonts w:asciiTheme="majorHAnsi" w:hAnsiTheme="majorHAnsi" w:cs="Arial"/>
          <w:b/>
          <w:sz w:val="22"/>
          <w:szCs w:val="22"/>
        </w:rPr>
      </w:pPr>
      <w:r>
        <w:rPr>
          <w:rFonts w:asciiTheme="majorHAnsi" w:hAnsiTheme="majorHAnsi" w:cs="Arial"/>
          <w:b/>
          <w:sz w:val="22"/>
          <w:szCs w:val="22"/>
        </w:rPr>
        <w:t>Planning policy context</w:t>
      </w:r>
    </w:p>
    <w:p w14:paraId="3A9C2451" w14:textId="77777777" w:rsidR="007D79EA" w:rsidRDefault="007D79EA" w:rsidP="007D79EA">
      <w:pPr>
        <w:pStyle w:val="ListParagraph"/>
        <w:numPr>
          <w:ilvl w:val="0"/>
          <w:numId w:val="1"/>
        </w:numPr>
        <w:rPr>
          <w:rFonts w:asciiTheme="majorHAnsi" w:hAnsiTheme="majorHAnsi" w:cs="Arial"/>
          <w:b/>
          <w:sz w:val="22"/>
          <w:szCs w:val="22"/>
        </w:rPr>
      </w:pPr>
      <w:r>
        <w:rPr>
          <w:rFonts w:asciiTheme="majorHAnsi" w:hAnsiTheme="majorHAnsi" w:cs="Arial"/>
          <w:b/>
          <w:sz w:val="22"/>
          <w:szCs w:val="22"/>
        </w:rPr>
        <w:t>Proposed affordable housing provision</w:t>
      </w:r>
    </w:p>
    <w:p w14:paraId="132A1D42" w14:textId="77777777" w:rsidR="007D79EA" w:rsidRPr="004628B9" w:rsidRDefault="007D79EA" w:rsidP="007D79EA">
      <w:pPr>
        <w:pStyle w:val="ListParagraph"/>
        <w:numPr>
          <w:ilvl w:val="0"/>
          <w:numId w:val="1"/>
        </w:numPr>
        <w:rPr>
          <w:rFonts w:asciiTheme="majorHAnsi" w:hAnsiTheme="majorHAnsi" w:cs="Arial"/>
          <w:b/>
          <w:sz w:val="22"/>
          <w:szCs w:val="22"/>
        </w:rPr>
      </w:pPr>
      <w:r>
        <w:rPr>
          <w:rFonts w:asciiTheme="majorHAnsi" w:hAnsiTheme="majorHAnsi" w:cs="Arial"/>
          <w:b/>
          <w:sz w:val="22"/>
          <w:szCs w:val="22"/>
        </w:rPr>
        <w:t>Conclusions</w:t>
      </w:r>
    </w:p>
    <w:p w14:paraId="51B11AAF" w14:textId="77777777" w:rsidR="007D79EA" w:rsidRDefault="007D79EA" w:rsidP="007D79EA">
      <w:pPr>
        <w:rPr>
          <w:rFonts w:asciiTheme="majorHAnsi" w:hAnsiTheme="majorHAnsi" w:cs="Arial"/>
          <w:sz w:val="22"/>
          <w:szCs w:val="22"/>
        </w:rPr>
      </w:pPr>
    </w:p>
    <w:p w14:paraId="07A1E618" w14:textId="77777777" w:rsidR="007D79EA" w:rsidRDefault="007D79EA" w:rsidP="007D79EA">
      <w:pPr>
        <w:rPr>
          <w:rFonts w:asciiTheme="majorHAnsi" w:hAnsiTheme="majorHAnsi" w:cs="Arial"/>
          <w:sz w:val="22"/>
          <w:szCs w:val="22"/>
        </w:rPr>
      </w:pPr>
    </w:p>
    <w:p w14:paraId="6904CC8E" w14:textId="77777777" w:rsidR="007D79EA" w:rsidRDefault="007D79EA" w:rsidP="007D79EA">
      <w:pPr>
        <w:rPr>
          <w:rFonts w:asciiTheme="majorHAnsi" w:hAnsiTheme="majorHAnsi" w:cs="Arial"/>
          <w:sz w:val="22"/>
          <w:szCs w:val="22"/>
        </w:rPr>
      </w:pPr>
    </w:p>
    <w:p w14:paraId="7828595F" w14:textId="77777777" w:rsidR="007D79EA" w:rsidRDefault="007D79EA" w:rsidP="007D79EA">
      <w:pPr>
        <w:rPr>
          <w:rFonts w:asciiTheme="majorHAnsi" w:hAnsiTheme="majorHAnsi" w:cs="Arial"/>
          <w:sz w:val="22"/>
          <w:szCs w:val="22"/>
        </w:rPr>
      </w:pPr>
    </w:p>
    <w:p w14:paraId="3EF98008" w14:textId="77777777" w:rsidR="007D79EA" w:rsidRDefault="007D79EA" w:rsidP="007D79EA">
      <w:pPr>
        <w:rPr>
          <w:rFonts w:asciiTheme="majorHAnsi" w:hAnsiTheme="majorHAnsi" w:cs="Arial"/>
          <w:sz w:val="22"/>
          <w:szCs w:val="22"/>
        </w:rPr>
      </w:pPr>
    </w:p>
    <w:p w14:paraId="04B189C1" w14:textId="77777777" w:rsidR="007D79EA" w:rsidRDefault="007D79EA" w:rsidP="007D79EA">
      <w:pPr>
        <w:rPr>
          <w:rFonts w:asciiTheme="majorHAnsi" w:hAnsiTheme="majorHAnsi" w:cs="Arial"/>
          <w:sz w:val="22"/>
          <w:szCs w:val="22"/>
        </w:rPr>
      </w:pPr>
    </w:p>
    <w:p w14:paraId="29FE523C" w14:textId="77777777" w:rsidR="007D79EA" w:rsidRDefault="007D79EA" w:rsidP="007D79EA">
      <w:pPr>
        <w:rPr>
          <w:rFonts w:asciiTheme="majorHAnsi" w:hAnsiTheme="majorHAnsi" w:cs="Arial"/>
          <w:sz w:val="22"/>
          <w:szCs w:val="22"/>
        </w:rPr>
      </w:pPr>
    </w:p>
    <w:p w14:paraId="1CA58637" w14:textId="77777777" w:rsidR="007D79EA" w:rsidRDefault="007D79EA" w:rsidP="007D79EA">
      <w:pPr>
        <w:rPr>
          <w:rFonts w:asciiTheme="majorHAnsi" w:hAnsiTheme="majorHAnsi" w:cs="Arial"/>
          <w:sz w:val="22"/>
          <w:szCs w:val="22"/>
        </w:rPr>
      </w:pPr>
    </w:p>
    <w:p w14:paraId="151AAB39" w14:textId="77777777" w:rsidR="007D79EA" w:rsidRDefault="007D79EA" w:rsidP="007D79EA">
      <w:pPr>
        <w:rPr>
          <w:rFonts w:asciiTheme="majorHAnsi" w:hAnsiTheme="majorHAnsi" w:cs="Arial"/>
          <w:sz w:val="22"/>
          <w:szCs w:val="22"/>
        </w:rPr>
      </w:pPr>
    </w:p>
    <w:p w14:paraId="3B2768DF" w14:textId="77777777" w:rsidR="007D79EA" w:rsidRDefault="007D79EA" w:rsidP="007D79EA">
      <w:pPr>
        <w:rPr>
          <w:rFonts w:asciiTheme="majorHAnsi" w:hAnsiTheme="majorHAnsi" w:cs="Arial"/>
          <w:sz w:val="22"/>
          <w:szCs w:val="22"/>
        </w:rPr>
      </w:pPr>
    </w:p>
    <w:p w14:paraId="71EF1192" w14:textId="77777777" w:rsidR="007D79EA" w:rsidRDefault="007D79EA" w:rsidP="007D79EA">
      <w:pPr>
        <w:rPr>
          <w:rFonts w:asciiTheme="majorHAnsi" w:hAnsiTheme="majorHAnsi" w:cs="Arial"/>
          <w:sz w:val="22"/>
          <w:szCs w:val="22"/>
        </w:rPr>
      </w:pPr>
    </w:p>
    <w:p w14:paraId="7B81F0B7" w14:textId="77777777" w:rsidR="007D79EA" w:rsidRDefault="007D79EA" w:rsidP="007D79EA">
      <w:pPr>
        <w:rPr>
          <w:rFonts w:asciiTheme="majorHAnsi" w:hAnsiTheme="majorHAnsi" w:cs="Arial"/>
          <w:sz w:val="22"/>
          <w:szCs w:val="22"/>
        </w:rPr>
      </w:pPr>
    </w:p>
    <w:p w14:paraId="42FCA53A" w14:textId="77777777" w:rsidR="007D79EA" w:rsidRDefault="007D79EA" w:rsidP="007D79EA">
      <w:pPr>
        <w:rPr>
          <w:rFonts w:asciiTheme="majorHAnsi" w:hAnsiTheme="majorHAnsi" w:cs="Arial"/>
          <w:sz w:val="22"/>
          <w:szCs w:val="22"/>
        </w:rPr>
      </w:pPr>
    </w:p>
    <w:p w14:paraId="715B6893" w14:textId="77777777" w:rsidR="007D79EA" w:rsidRDefault="007D79EA" w:rsidP="007D79EA">
      <w:pPr>
        <w:rPr>
          <w:rFonts w:asciiTheme="majorHAnsi" w:hAnsiTheme="majorHAnsi" w:cs="Arial"/>
          <w:sz w:val="22"/>
          <w:szCs w:val="22"/>
        </w:rPr>
      </w:pPr>
    </w:p>
    <w:p w14:paraId="5AC7CCAE" w14:textId="77777777" w:rsidR="007D79EA" w:rsidRDefault="007D79EA" w:rsidP="007D79EA">
      <w:pPr>
        <w:rPr>
          <w:rFonts w:asciiTheme="majorHAnsi" w:hAnsiTheme="majorHAnsi" w:cs="Arial"/>
          <w:sz w:val="22"/>
          <w:szCs w:val="22"/>
        </w:rPr>
      </w:pPr>
    </w:p>
    <w:p w14:paraId="3E042406" w14:textId="77777777" w:rsidR="007D79EA" w:rsidRDefault="007D79EA" w:rsidP="007D79EA">
      <w:pPr>
        <w:rPr>
          <w:rFonts w:asciiTheme="majorHAnsi" w:hAnsiTheme="majorHAnsi" w:cs="Arial"/>
          <w:sz w:val="22"/>
          <w:szCs w:val="22"/>
        </w:rPr>
      </w:pPr>
    </w:p>
    <w:p w14:paraId="3FE6DAD6" w14:textId="77777777" w:rsidR="007D79EA" w:rsidRDefault="007D79EA" w:rsidP="007D79EA">
      <w:pPr>
        <w:rPr>
          <w:rFonts w:asciiTheme="majorHAnsi" w:hAnsiTheme="majorHAnsi" w:cs="Arial"/>
          <w:sz w:val="22"/>
          <w:szCs w:val="22"/>
        </w:rPr>
      </w:pPr>
    </w:p>
    <w:p w14:paraId="166629B9" w14:textId="77777777" w:rsidR="007D79EA" w:rsidRDefault="007D79EA" w:rsidP="007D79EA">
      <w:pPr>
        <w:rPr>
          <w:rFonts w:asciiTheme="majorHAnsi" w:hAnsiTheme="majorHAnsi" w:cs="Arial"/>
          <w:sz w:val="22"/>
          <w:szCs w:val="22"/>
        </w:rPr>
      </w:pPr>
    </w:p>
    <w:p w14:paraId="685B59D9" w14:textId="77777777" w:rsidR="007D79EA" w:rsidRDefault="007D79EA" w:rsidP="007D79EA">
      <w:pPr>
        <w:rPr>
          <w:rFonts w:asciiTheme="majorHAnsi" w:hAnsiTheme="majorHAnsi" w:cs="Arial"/>
          <w:sz w:val="22"/>
          <w:szCs w:val="22"/>
        </w:rPr>
      </w:pPr>
    </w:p>
    <w:p w14:paraId="1392CA27" w14:textId="77777777" w:rsidR="007D79EA" w:rsidRDefault="007D79EA" w:rsidP="007D79EA">
      <w:pPr>
        <w:rPr>
          <w:rFonts w:asciiTheme="majorHAnsi" w:hAnsiTheme="majorHAnsi" w:cs="Arial"/>
          <w:sz w:val="22"/>
          <w:szCs w:val="22"/>
        </w:rPr>
      </w:pPr>
    </w:p>
    <w:p w14:paraId="0161F85D" w14:textId="77777777" w:rsidR="007D79EA" w:rsidRDefault="007D79EA" w:rsidP="007D79EA">
      <w:pPr>
        <w:rPr>
          <w:rFonts w:asciiTheme="majorHAnsi" w:hAnsiTheme="majorHAnsi" w:cs="Arial"/>
          <w:sz w:val="22"/>
          <w:szCs w:val="22"/>
        </w:rPr>
      </w:pPr>
    </w:p>
    <w:p w14:paraId="2681B21F" w14:textId="77777777" w:rsidR="007D79EA" w:rsidRDefault="007D79EA" w:rsidP="007D79EA">
      <w:pPr>
        <w:rPr>
          <w:rFonts w:asciiTheme="majorHAnsi" w:hAnsiTheme="majorHAnsi" w:cs="Arial"/>
          <w:sz w:val="22"/>
          <w:szCs w:val="22"/>
        </w:rPr>
      </w:pPr>
    </w:p>
    <w:p w14:paraId="589B1ACA" w14:textId="77777777" w:rsidR="007D79EA" w:rsidRDefault="007D79EA" w:rsidP="007D79EA">
      <w:pPr>
        <w:rPr>
          <w:rFonts w:asciiTheme="majorHAnsi" w:hAnsiTheme="majorHAnsi" w:cs="Arial"/>
          <w:sz w:val="22"/>
          <w:szCs w:val="22"/>
        </w:rPr>
      </w:pPr>
    </w:p>
    <w:p w14:paraId="515FA052" w14:textId="77777777" w:rsidR="007D79EA" w:rsidRDefault="007D79EA" w:rsidP="007D79EA">
      <w:pPr>
        <w:rPr>
          <w:rFonts w:asciiTheme="majorHAnsi" w:hAnsiTheme="majorHAnsi" w:cs="Arial"/>
          <w:sz w:val="22"/>
          <w:szCs w:val="22"/>
        </w:rPr>
      </w:pPr>
    </w:p>
    <w:p w14:paraId="5C963F5B" w14:textId="77777777" w:rsidR="007D79EA" w:rsidRDefault="007D79EA" w:rsidP="007D79EA">
      <w:pPr>
        <w:rPr>
          <w:rFonts w:asciiTheme="majorHAnsi" w:hAnsiTheme="majorHAnsi" w:cs="Arial"/>
          <w:sz w:val="22"/>
          <w:szCs w:val="22"/>
        </w:rPr>
      </w:pPr>
    </w:p>
    <w:p w14:paraId="0B097089" w14:textId="77777777" w:rsidR="007D79EA" w:rsidRDefault="007D79EA" w:rsidP="007D79EA">
      <w:pPr>
        <w:rPr>
          <w:rFonts w:asciiTheme="majorHAnsi" w:hAnsiTheme="majorHAnsi" w:cs="Arial"/>
          <w:sz w:val="22"/>
          <w:szCs w:val="22"/>
        </w:rPr>
      </w:pPr>
    </w:p>
    <w:p w14:paraId="042EEF85" w14:textId="77777777" w:rsidR="007D79EA" w:rsidRDefault="007D79EA" w:rsidP="007D79EA">
      <w:pPr>
        <w:rPr>
          <w:rFonts w:asciiTheme="majorHAnsi" w:hAnsiTheme="majorHAnsi" w:cs="Arial"/>
          <w:sz w:val="22"/>
          <w:szCs w:val="22"/>
        </w:rPr>
      </w:pPr>
    </w:p>
    <w:p w14:paraId="17A77A31" w14:textId="77777777" w:rsidR="007D79EA" w:rsidRDefault="007D79EA" w:rsidP="007D79EA">
      <w:pPr>
        <w:rPr>
          <w:rFonts w:asciiTheme="majorHAnsi" w:hAnsiTheme="majorHAnsi" w:cs="Arial"/>
          <w:sz w:val="22"/>
          <w:szCs w:val="22"/>
        </w:rPr>
      </w:pPr>
    </w:p>
    <w:p w14:paraId="0F07581C" w14:textId="77777777" w:rsidR="007D79EA" w:rsidRDefault="007D79EA" w:rsidP="007D79EA">
      <w:pPr>
        <w:rPr>
          <w:rFonts w:asciiTheme="majorHAnsi" w:hAnsiTheme="majorHAnsi" w:cs="Arial"/>
          <w:sz w:val="22"/>
          <w:szCs w:val="22"/>
        </w:rPr>
      </w:pPr>
    </w:p>
    <w:p w14:paraId="27CBE764" w14:textId="77777777" w:rsidR="007D79EA" w:rsidRDefault="007D79EA" w:rsidP="007D79EA">
      <w:pPr>
        <w:rPr>
          <w:rFonts w:asciiTheme="majorHAnsi" w:hAnsiTheme="majorHAnsi" w:cs="Arial"/>
          <w:sz w:val="22"/>
          <w:szCs w:val="22"/>
        </w:rPr>
      </w:pPr>
    </w:p>
    <w:p w14:paraId="5478AA2A" w14:textId="77777777" w:rsidR="007D79EA" w:rsidRDefault="007D79EA" w:rsidP="007D79EA">
      <w:pPr>
        <w:rPr>
          <w:rFonts w:asciiTheme="majorHAnsi" w:hAnsiTheme="majorHAnsi" w:cs="Arial"/>
          <w:sz w:val="22"/>
          <w:szCs w:val="22"/>
        </w:rPr>
      </w:pPr>
    </w:p>
    <w:p w14:paraId="3424E7FF" w14:textId="77777777" w:rsidR="007D79EA" w:rsidRDefault="007D79EA" w:rsidP="007D79EA">
      <w:pPr>
        <w:rPr>
          <w:rFonts w:asciiTheme="majorHAnsi" w:hAnsiTheme="majorHAnsi" w:cs="Arial"/>
          <w:sz w:val="22"/>
          <w:szCs w:val="22"/>
        </w:rPr>
      </w:pPr>
    </w:p>
    <w:p w14:paraId="06E4FA35" w14:textId="77777777" w:rsidR="007D79EA" w:rsidRDefault="007D79EA" w:rsidP="007D79EA">
      <w:pPr>
        <w:rPr>
          <w:rFonts w:asciiTheme="majorHAnsi" w:hAnsiTheme="majorHAnsi" w:cs="Arial"/>
          <w:sz w:val="22"/>
          <w:szCs w:val="22"/>
        </w:rPr>
      </w:pPr>
    </w:p>
    <w:p w14:paraId="195F6B32" w14:textId="77777777" w:rsidR="007D79EA" w:rsidRDefault="007D79EA" w:rsidP="007D79EA">
      <w:pPr>
        <w:rPr>
          <w:rFonts w:asciiTheme="majorHAnsi" w:hAnsiTheme="majorHAnsi" w:cs="Arial"/>
          <w:sz w:val="22"/>
          <w:szCs w:val="22"/>
        </w:rPr>
      </w:pPr>
    </w:p>
    <w:p w14:paraId="7CA00985" w14:textId="77777777" w:rsidR="007D79EA" w:rsidRDefault="007D79EA" w:rsidP="007D79EA">
      <w:pPr>
        <w:rPr>
          <w:rFonts w:asciiTheme="majorHAnsi" w:hAnsiTheme="majorHAnsi" w:cs="Arial"/>
          <w:sz w:val="22"/>
          <w:szCs w:val="22"/>
        </w:rPr>
      </w:pPr>
    </w:p>
    <w:p w14:paraId="229A218A" w14:textId="77777777" w:rsidR="007D79EA" w:rsidRDefault="007D79EA" w:rsidP="007D79EA">
      <w:pPr>
        <w:rPr>
          <w:rFonts w:asciiTheme="majorHAnsi" w:hAnsiTheme="majorHAnsi" w:cs="Arial"/>
          <w:sz w:val="22"/>
          <w:szCs w:val="22"/>
        </w:rPr>
      </w:pPr>
    </w:p>
    <w:p w14:paraId="0E05661B" w14:textId="77777777" w:rsidR="007D79EA" w:rsidRDefault="007D79EA" w:rsidP="007D79EA">
      <w:pPr>
        <w:rPr>
          <w:rFonts w:asciiTheme="majorHAnsi" w:hAnsiTheme="majorHAnsi" w:cs="Arial"/>
          <w:sz w:val="22"/>
          <w:szCs w:val="22"/>
        </w:rPr>
      </w:pPr>
    </w:p>
    <w:p w14:paraId="002ACB6A" w14:textId="77777777" w:rsidR="007D79EA" w:rsidRDefault="007D79EA" w:rsidP="007D79EA">
      <w:pPr>
        <w:rPr>
          <w:rFonts w:asciiTheme="majorHAnsi" w:hAnsiTheme="majorHAnsi" w:cs="Arial"/>
          <w:sz w:val="22"/>
          <w:szCs w:val="22"/>
        </w:rPr>
      </w:pPr>
    </w:p>
    <w:p w14:paraId="04CA5E6E" w14:textId="77777777" w:rsidR="007D79EA" w:rsidRDefault="007D79EA" w:rsidP="007D79EA">
      <w:pPr>
        <w:rPr>
          <w:rFonts w:asciiTheme="majorHAnsi" w:hAnsiTheme="majorHAnsi" w:cs="Arial"/>
          <w:sz w:val="22"/>
          <w:szCs w:val="22"/>
        </w:rPr>
      </w:pPr>
    </w:p>
    <w:p w14:paraId="629548EC" w14:textId="77777777" w:rsidR="007D79EA" w:rsidRDefault="007D79EA" w:rsidP="007D79EA">
      <w:pPr>
        <w:rPr>
          <w:rFonts w:asciiTheme="majorHAnsi" w:hAnsiTheme="majorHAnsi" w:cs="Arial"/>
          <w:sz w:val="22"/>
          <w:szCs w:val="22"/>
        </w:rPr>
      </w:pPr>
    </w:p>
    <w:p w14:paraId="141B7F55" w14:textId="77777777" w:rsidR="007D79EA" w:rsidRDefault="007D79EA" w:rsidP="007D79EA">
      <w:pPr>
        <w:rPr>
          <w:rFonts w:asciiTheme="majorHAnsi" w:hAnsiTheme="majorHAnsi" w:cs="Arial"/>
          <w:sz w:val="22"/>
          <w:szCs w:val="22"/>
        </w:rPr>
      </w:pPr>
    </w:p>
    <w:p w14:paraId="7DF09B4B" w14:textId="77777777" w:rsidR="007D79EA" w:rsidRDefault="007D79EA" w:rsidP="007D79EA">
      <w:pPr>
        <w:rPr>
          <w:rFonts w:asciiTheme="majorHAnsi" w:hAnsiTheme="majorHAnsi" w:cs="Arial"/>
          <w:sz w:val="22"/>
          <w:szCs w:val="22"/>
        </w:rPr>
      </w:pPr>
    </w:p>
    <w:p w14:paraId="12828E06" w14:textId="77777777" w:rsidR="007D79EA" w:rsidRDefault="007D79EA" w:rsidP="007D79EA">
      <w:pPr>
        <w:rPr>
          <w:rFonts w:asciiTheme="majorHAnsi" w:hAnsiTheme="majorHAnsi" w:cs="Arial"/>
          <w:sz w:val="22"/>
          <w:szCs w:val="22"/>
        </w:rPr>
      </w:pPr>
    </w:p>
    <w:p w14:paraId="358F46BC" w14:textId="77777777" w:rsidR="007D79EA" w:rsidRDefault="007D79EA" w:rsidP="007D79EA">
      <w:pPr>
        <w:rPr>
          <w:rFonts w:asciiTheme="majorHAnsi" w:hAnsiTheme="majorHAnsi" w:cs="Arial"/>
          <w:sz w:val="22"/>
          <w:szCs w:val="22"/>
        </w:rPr>
      </w:pPr>
    </w:p>
    <w:p w14:paraId="549969DF" w14:textId="77777777" w:rsidR="007D79EA" w:rsidRPr="00B44C4D" w:rsidRDefault="007D79EA" w:rsidP="007D79EA">
      <w:pPr>
        <w:rPr>
          <w:rFonts w:asciiTheme="majorHAnsi" w:hAnsiTheme="majorHAnsi" w:cs="Arial"/>
          <w:sz w:val="22"/>
          <w:szCs w:val="22"/>
        </w:rPr>
      </w:pPr>
    </w:p>
    <w:p w14:paraId="12597DC6" w14:textId="77777777" w:rsidR="007D79EA" w:rsidRPr="007D79EA" w:rsidRDefault="007D79EA" w:rsidP="007D79EA">
      <w:pPr>
        <w:pStyle w:val="NormalWeb"/>
        <w:numPr>
          <w:ilvl w:val="0"/>
          <w:numId w:val="2"/>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 xml:space="preserve">Background </w:t>
      </w:r>
    </w:p>
    <w:p w14:paraId="0E3AD260" w14:textId="77777777" w:rsidR="007D79EA" w:rsidRDefault="007D79EA" w:rsidP="007D79EA">
      <w:pPr>
        <w:pStyle w:val="NormalWeb"/>
        <w:numPr>
          <w:ilvl w:val="1"/>
          <w:numId w:val="3"/>
        </w:numPr>
        <w:shd w:val="clear" w:color="auto" w:fill="FFFFFF"/>
        <w:spacing w:before="0" w:beforeAutospacing="0" w:after="150" w:afterAutospacing="0" w:line="336" w:lineRule="atLeast"/>
        <w:rPr>
          <w:rFonts w:asciiTheme="majorHAnsi" w:hAnsiTheme="majorHAnsi" w:cs="Helvetica"/>
          <w:color w:val="231F20"/>
          <w:sz w:val="22"/>
          <w:szCs w:val="22"/>
        </w:rPr>
      </w:pPr>
      <w:r w:rsidRPr="00B44C4D">
        <w:rPr>
          <w:rFonts w:asciiTheme="majorHAnsi" w:hAnsiTheme="majorHAnsi" w:cs="Helvetica"/>
          <w:color w:val="231F20"/>
          <w:sz w:val="22"/>
          <w:szCs w:val="22"/>
        </w:rPr>
        <w:t xml:space="preserve">Wythenshawe Community Housing Group (WCHG) manages almost 14,000 properties, providing homes to more than 20,000 people in South Manchester and provides local employment to 560 colleagues. </w:t>
      </w:r>
    </w:p>
    <w:p w14:paraId="01A55E42" w14:textId="77777777" w:rsidR="007D79EA" w:rsidRDefault="007D79EA" w:rsidP="007D79EA">
      <w:pPr>
        <w:pStyle w:val="NormalWeb"/>
        <w:numPr>
          <w:ilvl w:val="1"/>
          <w:numId w:val="3"/>
        </w:numPr>
        <w:shd w:val="clear" w:color="auto" w:fill="FFFFFF"/>
        <w:spacing w:before="0" w:beforeAutospacing="0" w:after="150" w:afterAutospacing="0" w:line="336" w:lineRule="atLeast"/>
        <w:rPr>
          <w:rFonts w:asciiTheme="majorHAnsi" w:hAnsiTheme="majorHAnsi" w:cs="Helvetica"/>
          <w:color w:val="231F20"/>
          <w:sz w:val="22"/>
          <w:szCs w:val="22"/>
        </w:rPr>
      </w:pPr>
      <w:r w:rsidRPr="00B44C4D">
        <w:rPr>
          <w:rFonts w:asciiTheme="majorHAnsi" w:hAnsiTheme="majorHAnsi" w:cs="Helvetica"/>
          <w:color w:val="231F20"/>
          <w:sz w:val="22"/>
          <w:szCs w:val="22"/>
        </w:rPr>
        <w:t>Recently awarded the prestigious ‘Investors in People’ Platinum Status, we are now amongst an elite group of world class organisations recognised for demonstrating a commitment to high performance through excellent people management and to be the very first Housing Association in the North West of England to achieve this prestigious accreditation.</w:t>
      </w:r>
    </w:p>
    <w:p w14:paraId="1A6A02C0" w14:textId="3B59CFB3" w:rsidR="007D79EA" w:rsidRPr="007D79EA" w:rsidRDefault="007D79EA" w:rsidP="007D79EA">
      <w:pPr>
        <w:pStyle w:val="NormalWeb"/>
        <w:numPr>
          <w:ilvl w:val="1"/>
          <w:numId w:val="3"/>
        </w:numPr>
        <w:shd w:val="clear" w:color="auto" w:fill="FFFFFF"/>
        <w:spacing w:before="0" w:beforeAutospacing="0" w:after="150" w:afterAutospacing="0" w:line="336" w:lineRule="atLeast"/>
        <w:rPr>
          <w:rFonts w:asciiTheme="majorHAnsi" w:hAnsiTheme="majorHAnsi" w:cs="Helvetica"/>
          <w:color w:val="231F20"/>
          <w:sz w:val="22"/>
          <w:szCs w:val="22"/>
        </w:rPr>
      </w:pPr>
      <w:r w:rsidRPr="004628B9">
        <w:rPr>
          <w:rFonts w:asciiTheme="majorHAnsi" w:hAnsiTheme="majorHAnsi" w:cs="Helvetica"/>
          <w:color w:val="231F20"/>
          <w:sz w:val="22"/>
          <w:szCs w:val="22"/>
        </w:rPr>
        <w:t>Wythenshawe Community Housing Group’s vision is to create a community where people choose to live and work, having pride in their homes and services. WCHG boasts an impressive £100m development portfolio which will create 836 new homes leaving a lasting legacy for the Wythenshawe Community.</w:t>
      </w:r>
    </w:p>
    <w:p w14:paraId="4E42109A" w14:textId="77777777" w:rsidR="007D79EA" w:rsidRPr="007D79EA" w:rsidRDefault="007D79EA" w:rsidP="007D79EA">
      <w:pPr>
        <w:pStyle w:val="NormalWeb"/>
        <w:numPr>
          <w:ilvl w:val="0"/>
          <w:numId w:val="2"/>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Introduction</w:t>
      </w:r>
    </w:p>
    <w:p w14:paraId="5783B325" w14:textId="77777777"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2.1</w:t>
      </w:r>
      <w:r>
        <w:rPr>
          <w:rFonts w:asciiTheme="majorHAnsi" w:hAnsiTheme="majorHAnsi" w:cs="Helvetica"/>
          <w:color w:val="231F20"/>
          <w:sz w:val="22"/>
          <w:szCs w:val="22"/>
        </w:rPr>
        <w:tab/>
        <w:t>This Affordable Housing Statement has been prepared in support of the planning application, which seeks to redevelop the application site to provide new homes to our customers.</w:t>
      </w:r>
    </w:p>
    <w:p w14:paraId="727C6C0E" w14:textId="77777777"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2.2</w:t>
      </w:r>
      <w:r>
        <w:rPr>
          <w:rFonts w:asciiTheme="majorHAnsi" w:hAnsiTheme="majorHAnsi" w:cs="Helvetica"/>
          <w:color w:val="231F20"/>
          <w:sz w:val="22"/>
          <w:szCs w:val="22"/>
        </w:rPr>
        <w:tab/>
        <w:t xml:space="preserve">This documents should be read in conjunction with the supporting documents that accompany the planning submission. </w:t>
      </w:r>
    </w:p>
    <w:p w14:paraId="2A4A3838" w14:textId="77777777" w:rsidR="007D79EA" w:rsidRPr="007D79EA" w:rsidRDefault="007D79EA" w:rsidP="007D79EA">
      <w:pPr>
        <w:pStyle w:val="NormalWeb"/>
        <w:numPr>
          <w:ilvl w:val="0"/>
          <w:numId w:val="2"/>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 xml:space="preserve">Planning policy context </w:t>
      </w:r>
    </w:p>
    <w:p w14:paraId="7C5B7BCE" w14:textId="3D7CE7F5"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3.1</w:t>
      </w:r>
      <w:r>
        <w:rPr>
          <w:rFonts w:asciiTheme="majorHAnsi" w:hAnsiTheme="majorHAnsi" w:cs="Helvetica"/>
          <w:color w:val="231F20"/>
          <w:sz w:val="22"/>
          <w:szCs w:val="22"/>
        </w:rPr>
        <w:tab/>
        <w:t>As set out in Planning Policy Statement 3 (PPS3), Manchester City Council’s guidance is that an affordable housing provision will be applicable for devel</w:t>
      </w:r>
      <w:r w:rsidR="00897B69">
        <w:rPr>
          <w:rFonts w:asciiTheme="majorHAnsi" w:hAnsiTheme="majorHAnsi" w:cs="Helvetica"/>
          <w:color w:val="231F20"/>
          <w:sz w:val="22"/>
          <w:szCs w:val="22"/>
        </w:rPr>
        <w:t>opments of 15 or more dwellings;</w:t>
      </w:r>
      <w:r>
        <w:rPr>
          <w:rFonts w:asciiTheme="majorHAnsi" w:hAnsiTheme="majorHAnsi" w:cs="Helvetica"/>
          <w:color w:val="231F20"/>
          <w:sz w:val="22"/>
          <w:szCs w:val="22"/>
        </w:rPr>
        <w:t xml:space="preserve"> or sites of 0.3 hectares or larger. </w:t>
      </w:r>
    </w:p>
    <w:p w14:paraId="5CA98844" w14:textId="67C9C93A"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3.2</w:t>
      </w:r>
      <w:r>
        <w:rPr>
          <w:rFonts w:asciiTheme="majorHAnsi" w:hAnsiTheme="majorHAnsi" w:cs="Helvetica"/>
          <w:color w:val="231F20"/>
          <w:sz w:val="22"/>
          <w:szCs w:val="22"/>
        </w:rPr>
        <w:tab/>
        <w:t>Manchester City Council’s Housing Needs Assessment suggests an affordable housing target in the range o</w:t>
      </w:r>
      <w:r w:rsidR="00897B69">
        <w:rPr>
          <w:rFonts w:asciiTheme="majorHAnsi" w:hAnsiTheme="majorHAnsi" w:cs="Helvetica"/>
          <w:color w:val="231F20"/>
          <w:sz w:val="22"/>
          <w:szCs w:val="22"/>
        </w:rPr>
        <w:t>f 30%.</w:t>
      </w:r>
    </w:p>
    <w:p w14:paraId="26BC3F1C" w14:textId="77777777" w:rsidR="00B44C4D" w:rsidRDefault="00B44C4D"/>
    <w:p w14:paraId="61A4627A" w14:textId="28CCE890" w:rsidR="007D79EA" w:rsidRDefault="007D79EA"/>
    <w:p w14:paraId="5802AAE9" w14:textId="79639B3C" w:rsidR="00BA3F64" w:rsidRDefault="00BA3F64"/>
    <w:p w14:paraId="7D4750E4" w14:textId="33F74406" w:rsidR="00BA3F64" w:rsidRDefault="00BA3F64"/>
    <w:p w14:paraId="2FF96423" w14:textId="0D8350E9" w:rsidR="00BA3F64" w:rsidRDefault="00BA3F64"/>
    <w:p w14:paraId="01C3A4FC" w14:textId="499CFCB6" w:rsidR="00BA3F64" w:rsidRDefault="00BA3F64"/>
    <w:p w14:paraId="2697AF8F" w14:textId="2436B879" w:rsidR="00BA3F64" w:rsidRDefault="00BA3F64"/>
    <w:p w14:paraId="624FC449" w14:textId="292A058E" w:rsidR="00BA3F64" w:rsidRDefault="00BA3F64"/>
    <w:p w14:paraId="4C23D4AE" w14:textId="77777777" w:rsidR="00BA3F64" w:rsidRDefault="00BA3F64"/>
    <w:p w14:paraId="7A62C2F9" w14:textId="77777777" w:rsidR="007D79EA" w:rsidRDefault="007D79EA"/>
    <w:p w14:paraId="39DED6CC" w14:textId="77777777" w:rsidR="007D79EA" w:rsidRDefault="007D79EA"/>
    <w:p w14:paraId="34E33231" w14:textId="77777777" w:rsidR="007D79EA" w:rsidRDefault="007D79EA"/>
    <w:p w14:paraId="0B0952BA" w14:textId="77777777" w:rsidR="007D79EA" w:rsidRDefault="007D79EA"/>
    <w:p w14:paraId="7FB763A3" w14:textId="77777777" w:rsidR="007D79EA" w:rsidRDefault="007D79EA"/>
    <w:p w14:paraId="7B49BF30" w14:textId="77777777" w:rsidR="00897B69" w:rsidRDefault="00897B69"/>
    <w:p w14:paraId="57389730" w14:textId="77777777" w:rsidR="00897B69" w:rsidRDefault="00897B69"/>
    <w:p w14:paraId="0CA6DDAD" w14:textId="77777777" w:rsidR="007D79EA" w:rsidRPr="007D79EA" w:rsidRDefault="007D79EA" w:rsidP="007D79EA">
      <w:pPr>
        <w:pStyle w:val="NormalWeb"/>
        <w:numPr>
          <w:ilvl w:val="0"/>
          <w:numId w:val="2"/>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Proposed affordable housing provision</w:t>
      </w:r>
    </w:p>
    <w:p w14:paraId="7892FEAD" w14:textId="44CBFF09"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4.1</w:t>
      </w:r>
      <w:r>
        <w:rPr>
          <w:rFonts w:asciiTheme="majorHAnsi" w:hAnsiTheme="majorHAnsi" w:cs="Helvetica"/>
          <w:color w:val="231F20"/>
          <w:sz w:val="22"/>
          <w:szCs w:val="22"/>
        </w:rPr>
        <w:tab/>
        <w:t>The proposed scheme would exceed the required 20% of the proposed residential units being affordable in accordance with the definition set out at Annex 2 of the NPPF.</w:t>
      </w:r>
    </w:p>
    <w:p w14:paraId="6103D4E8" w14:textId="4DDB93A4" w:rsidR="00BA3F64" w:rsidRDefault="00BA3F64"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4.2 Currently the heads of Terms are being finalised with MCC and the final tenure of the scheme is under final approval.  Option one which is all 23 properties to be social rent.  A secondary option in the lease is </w:t>
      </w:r>
      <w:r w:rsidR="007F22B5">
        <w:rPr>
          <w:rFonts w:asciiTheme="majorHAnsi" w:hAnsiTheme="majorHAnsi" w:cs="Helvetica"/>
          <w:color w:val="231F20"/>
          <w:sz w:val="22"/>
          <w:szCs w:val="22"/>
        </w:rPr>
        <w:t>21</w:t>
      </w:r>
      <w:r>
        <w:rPr>
          <w:rFonts w:asciiTheme="majorHAnsi" w:hAnsiTheme="majorHAnsi" w:cs="Helvetica"/>
          <w:color w:val="231F20"/>
          <w:sz w:val="22"/>
          <w:szCs w:val="22"/>
        </w:rPr>
        <w:t xml:space="preserve"> s</w:t>
      </w:r>
      <w:r w:rsidR="00D5181B">
        <w:rPr>
          <w:rFonts w:asciiTheme="majorHAnsi" w:hAnsiTheme="majorHAnsi" w:cs="Helvetica"/>
          <w:color w:val="231F20"/>
          <w:sz w:val="22"/>
          <w:szCs w:val="22"/>
        </w:rPr>
        <w:t xml:space="preserve">ocial rent and </w:t>
      </w:r>
      <w:r w:rsidR="007F22B5">
        <w:rPr>
          <w:rFonts w:asciiTheme="majorHAnsi" w:hAnsiTheme="majorHAnsi" w:cs="Helvetica"/>
          <w:color w:val="231F20"/>
          <w:sz w:val="22"/>
          <w:szCs w:val="22"/>
        </w:rPr>
        <w:t>2</w:t>
      </w:r>
      <w:r w:rsidR="00D5181B">
        <w:rPr>
          <w:rFonts w:asciiTheme="majorHAnsi" w:hAnsiTheme="majorHAnsi" w:cs="Helvetica"/>
          <w:color w:val="231F20"/>
          <w:sz w:val="22"/>
          <w:szCs w:val="22"/>
        </w:rPr>
        <w:t xml:space="preserve"> shared ownership indicated by </w:t>
      </w:r>
      <w:proofErr w:type="gramStart"/>
      <w:r w:rsidR="00D5181B">
        <w:rPr>
          <w:rFonts w:asciiTheme="majorHAnsi" w:hAnsiTheme="majorHAnsi" w:cs="Helvetica"/>
          <w:color w:val="231F20"/>
          <w:sz w:val="22"/>
          <w:szCs w:val="22"/>
        </w:rPr>
        <w:t>( )</w:t>
      </w:r>
      <w:proofErr w:type="gramEnd"/>
      <w:r w:rsidR="00D5181B">
        <w:rPr>
          <w:rFonts w:asciiTheme="majorHAnsi" w:hAnsiTheme="majorHAnsi" w:cs="Helvetica"/>
          <w:color w:val="231F20"/>
          <w:sz w:val="22"/>
          <w:szCs w:val="22"/>
        </w:rPr>
        <w:t xml:space="preserve"> figures in the table below.</w:t>
      </w:r>
      <w:r w:rsidR="007F22B5">
        <w:rPr>
          <w:rFonts w:asciiTheme="majorHAnsi" w:hAnsiTheme="majorHAnsi" w:cs="Helvetica"/>
          <w:color w:val="231F20"/>
          <w:sz w:val="22"/>
          <w:szCs w:val="22"/>
        </w:rPr>
        <w:t xml:space="preserve">  We believe this to be the most likely mix for scheme viability purposes.</w:t>
      </w:r>
    </w:p>
    <w:p w14:paraId="3A4121F8" w14:textId="77777777"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4.2</w:t>
      </w:r>
      <w:r>
        <w:rPr>
          <w:rFonts w:asciiTheme="majorHAnsi" w:hAnsiTheme="majorHAnsi" w:cs="Helvetica"/>
          <w:color w:val="231F20"/>
          <w:sz w:val="22"/>
          <w:szCs w:val="22"/>
        </w:rPr>
        <w:tab/>
        <w:t>The proposed mix is illustrated in the table below:</w:t>
      </w:r>
    </w:p>
    <w:tbl>
      <w:tblPr>
        <w:tblStyle w:val="TableGrid"/>
        <w:tblW w:w="0" w:type="auto"/>
        <w:tblInd w:w="817" w:type="dxa"/>
        <w:tblLook w:val="04A0" w:firstRow="1" w:lastRow="0" w:firstColumn="1" w:lastColumn="0" w:noHBand="0" w:noVBand="1"/>
      </w:tblPr>
      <w:tblGrid>
        <w:gridCol w:w="2428"/>
        <w:gridCol w:w="2121"/>
        <w:gridCol w:w="3002"/>
      </w:tblGrid>
      <w:tr w:rsidR="007D79EA" w14:paraId="2745B762" w14:textId="77777777" w:rsidTr="00C8215A">
        <w:tc>
          <w:tcPr>
            <w:tcW w:w="2493" w:type="dxa"/>
            <w:shd w:val="clear" w:color="auto" w:fill="A6A6A6" w:themeFill="background1" w:themeFillShade="A6"/>
          </w:tcPr>
          <w:p w14:paraId="6FC0E8F4" w14:textId="77777777" w:rsidR="007D79EA" w:rsidRPr="00AA15B1" w:rsidRDefault="007D79EA" w:rsidP="00C8215A">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 xml:space="preserve">Tenure </w:t>
            </w:r>
          </w:p>
        </w:tc>
        <w:tc>
          <w:tcPr>
            <w:tcW w:w="2185" w:type="dxa"/>
            <w:shd w:val="clear" w:color="auto" w:fill="A6A6A6" w:themeFill="background1" w:themeFillShade="A6"/>
          </w:tcPr>
          <w:p w14:paraId="56B5CBE1" w14:textId="77777777" w:rsidR="007D79EA" w:rsidRPr="00AA15B1" w:rsidRDefault="007D79EA" w:rsidP="00C8215A">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Number of dwellings</w:t>
            </w:r>
          </w:p>
        </w:tc>
        <w:tc>
          <w:tcPr>
            <w:tcW w:w="3099" w:type="dxa"/>
            <w:shd w:val="clear" w:color="auto" w:fill="A6A6A6" w:themeFill="background1" w:themeFillShade="A6"/>
          </w:tcPr>
          <w:p w14:paraId="175B5E84" w14:textId="77777777" w:rsidR="007D79EA" w:rsidRPr="00AA15B1" w:rsidRDefault="007D79EA" w:rsidP="00C8215A">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Percentage of development (%)</w:t>
            </w:r>
          </w:p>
        </w:tc>
      </w:tr>
      <w:tr w:rsidR="007D79EA" w14:paraId="7EF6DA9D" w14:textId="77777777" w:rsidTr="00C8215A">
        <w:tc>
          <w:tcPr>
            <w:tcW w:w="2493" w:type="dxa"/>
          </w:tcPr>
          <w:p w14:paraId="389904BE" w14:textId="77777777" w:rsidR="007D79EA" w:rsidRDefault="007D79EA" w:rsidP="00C8215A">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Social Rent</w:t>
            </w:r>
          </w:p>
        </w:tc>
        <w:tc>
          <w:tcPr>
            <w:tcW w:w="2185" w:type="dxa"/>
          </w:tcPr>
          <w:p w14:paraId="6157B434" w14:textId="35EF1B47" w:rsidR="007D79EA" w:rsidRDefault="007D79EA" w:rsidP="00C8215A">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23</w:t>
            </w:r>
            <w:r w:rsidR="00BA3F64">
              <w:rPr>
                <w:rFonts w:asciiTheme="majorHAnsi" w:hAnsiTheme="majorHAnsi" w:cs="Helvetica"/>
                <w:color w:val="231F20"/>
                <w:sz w:val="22"/>
                <w:szCs w:val="22"/>
              </w:rPr>
              <w:t xml:space="preserve"> (</w:t>
            </w:r>
            <w:r w:rsidR="007F22B5">
              <w:rPr>
                <w:rFonts w:asciiTheme="majorHAnsi" w:hAnsiTheme="majorHAnsi" w:cs="Helvetica"/>
                <w:color w:val="231F20"/>
                <w:sz w:val="22"/>
                <w:szCs w:val="22"/>
              </w:rPr>
              <w:t>21</w:t>
            </w:r>
            <w:r w:rsidR="00BA3F64">
              <w:rPr>
                <w:rFonts w:asciiTheme="majorHAnsi" w:hAnsiTheme="majorHAnsi" w:cs="Helvetica"/>
                <w:color w:val="231F20"/>
                <w:sz w:val="22"/>
                <w:szCs w:val="22"/>
              </w:rPr>
              <w:t>)</w:t>
            </w:r>
          </w:p>
        </w:tc>
        <w:tc>
          <w:tcPr>
            <w:tcW w:w="3099" w:type="dxa"/>
          </w:tcPr>
          <w:p w14:paraId="7CA91E28" w14:textId="40D3CF08" w:rsidR="007D79EA" w:rsidRDefault="00BA3F64" w:rsidP="00C8215A">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100</w:t>
            </w:r>
            <w:proofErr w:type="gramStart"/>
            <w:r>
              <w:rPr>
                <w:rFonts w:asciiTheme="majorHAnsi" w:hAnsiTheme="majorHAnsi" w:cs="Helvetica"/>
                <w:color w:val="231F20"/>
                <w:sz w:val="22"/>
                <w:szCs w:val="22"/>
              </w:rPr>
              <w:t>%  (</w:t>
            </w:r>
            <w:proofErr w:type="gramEnd"/>
            <w:r w:rsidR="007F22B5">
              <w:rPr>
                <w:rFonts w:asciiTheme="majorHAnsi" w:hAnsiTheme="majorHAnsi" w:cs="Helvetica"/>
                <w:color w:val="231F20"/>
                <w:sz w:val="22"/>
                <w:szCs w:val="22"/>
              </w:rPr>
              <w:t>91</w:t>
            </w:r>
            <w:r>
              <w:rPr>
                <w:rFonts w:asciiTheme="majorHAnsi" w:hAnsiTheme="majorHAnsi" w:cs="Helvetica"/>
                <w:color w:val="231F20"/>
                <w:sz w:val="22"/>
                <w:szCs w:val="22"/>
              </w:rPr>
              <w:t>%)</w:t>
            </w:r>
          </w:p>
        </w:tc>
      </w:tr>
      <w:tr w:rsidR="007D79EA" w14:paraId="22E18743" w14:textId="77777777" w:rsidTr="00C8215A">
        <w:tc>
          <w:tcPr>
            <w:tcW w:w="2493" w:type="dxa"/>
          </w:tcPr>
          <w:p w14:paraId="5F2DC36D" w14:textId="77777777" w:rsidR="007D79EA" w:rsidRDefault="007D79EA" w:rsidP="00C8215A">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Intermediate Tenure (Shared Ownership)</w:t>
            </w:r>
          </w:p>
        </w:tc>
        <w:tc>
          <w:tcPr>
            <w:tcW w:w="2185" w:type="dxa"/>
          </w:tcPr>
          <w:p w14:paraId="79AF1951" w14:textId="724BA704" w:rsidR="007D79EA" w:rsidRDefault="00BA3F64" w:rsidP="00C8215A">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0 (</w:t>
            </w:r>
            <w:r w:rsidR="007F22B5">
              <w:rPr>
                <w:rFonts w:asciiTheme="majorHAnsi" w:hAnsiTheme="majorHAnsi" w:cs="Helvetica"/>
                <w:color w:val="231F20"/>
                <w:sz w:val="22"/>
                <w:szCs w:val="22"/>
              </w:rPr>
              <w:t>2</w:t>
            </w:r>
            <w:r>
              <w:rPr>
                <w:rFonts w:asciiTheme="majorHAnsi" w:hAnsiTheme="majorHAnsi" w:cs="Helvetica"/>
                <w:color w:val="231F20"/>
                <w:sz w:val="22"/>
                <w:szCs w:val="22"/>
              </w:rPr>
              <w:t>)</w:t>
            </w:r>
          </w:p>
        </w:tc>
        <w:tc>
          <w:tcPr>
            <w:tcW w:w="3099" w:type="dxa"/>
          </w:tcPr>
          <w:p w14:paraId="4D6B27C5" w14:textId="13AB7EEF" w:rsidR="007D79EA" w:rsidRDefault="00BA3F64" w:rsidP="00C8215A">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0</w:t>
            </w:r>
            <w:proofErr w:type="gramStart"/>
            <w:r>
              <w:rPr>
                <w:rFonts w:asciiTheme="majorHAnsi" w:hAnsiTheme="majorHAnsi" w:cs="Helvetica"/>
                <w:color w:val="231F20"/>
                <w:sz w:val="22"/>
                <w:szCs w:val="22"/>
              </w:rPr>
              <w:t>%  (</w:t>
            </w:r>
            <w:proofErr w:type="gramEnd"/>
            <w:r w:rsidR="007F22B5">
              <w:rPr>
                <w:rFonts w:asciiTheme="majorHAnsi" w:hAnsiTheme="majorHAnsi" w:cs="Helvetica"/>
                <w:color w:val="231F20"/>
                <w:sz w:val="22"/>
                <w:szCs w:val="22"/>
              </w:rPr>
              <w:t>9</w:t>
            </w:r>
            <w:r>
              <w:rPr>
                <w:rFonts w:asciiTheme="majorHAnsi" w:hAnsiTheme="majorHAnsi" w:cs="Helvetica"/>
                <w:color w:val="231F20"/>
                <w:sz w:val="22"/>
                <w:szCs w:val="22"/>
              </w:rPr>
              <w:t>%)</w:t>
            </w:r>
          </w:p>
        </w:tc>
      </w:tr>
      <w:tr w:rsidR="007D79EA" w14:paraId="6194DC52" w14:textId="77777777" w:rsidTr="00C8215A">
        <w:tc>
          <w:tcPr>
            <w:tcW w:w="2493" w:type="dxa"/>
          </w:tcPr>
          <w:p w14:paraId="63B67D37" w14:textId="77777777" w:rsidR="007D79EA" w:rsidRPr="00AA15B1" w:rsidRDefault="007D79EA" w:rsidP="00C8215A">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Total</w:t>
            </w:r>
          </w:p>
        </w:tc>
        <w:tc>
          <w:tcPr>
            <w:tcW w:w="2185" w:type="dxa"/>
          </w:tcPr>
          <w:p w14:paraId="6AEE85EA" w14:textId="589955B9" w:rsidR="007D79EA" w:rsidRPr="00AA15B1" w:rsidRDefault="00BA3F64" w:rsidP="00C8215A">
            <w:pPr>
              <w:pStyle w:val="NormalWeb"/>
              <w:spacing w:before="0" w:beforeAutospacing="0" w:after="150" w:afterAutospacing="0" w:line="336" w:lineRule="atLeast"/>
              <w:rPr>
                <w:rFonts w:asciiTheme="majorHAnsi" w:hAnsiTheme="majorHAnsi" w:cs="Helvetica"/>
                <w:b/>
                <w:color w:val="231F20"/>
                <w:sz w:val="22"/>
                <w:szCs w:val="22"/>
              </w:rPr>
            </w:pPr>
            <w:r>
              <w:rPr>
                <w:rFonts w:asciiTheme="majorHAnsi" w:hAnsiTheme="majorHAnsi" w:cs="Helvetica"/>
                <w:b/>
                <w:color w:val="231F20"/>
                <w:sz w:val="22"/>
                <w:szCs w:val="22"/>
              </w:rPr>
              <w:t>23</w:t>
            </w:r>
            <w:r w:rsidR="00D5181B">
              <w:rPr>
                <w:rFonts w:asciiTheme="majorHAnsi" w:hAnsiTheme="majorHAnsi" w:cs="Helvetica"/>
                <w:b/>
                <w:color w:val="231F20"/>
                <w:sz w:val="22"/>
                <w:szCs w:val="22"/>
              </w:rPr>
              <w:t xml:space="preserve"> (23)</w:t>
            </w:r>
          </w:p>
        </w:tc>
        <w:tc>
          <w:tcPr>
            <w:tcW w:w="3099" w:type="dxa"/>
          </w:tcPr>
          <w:p w14:paraId="5B94412A" w14:textId="2389EE2E" w:rsidR="007D79EA" w:rsidRPr="00AA15B1" w:rsidRDefault="007D79EA" w:rsidP="00C8215A">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100%</w:t>
            </w:r>
            <w:r w:rsidR="00D5181B">
              <w:rPr>
                <w:rFonts w:asciiTheme="majorHAnsi" w:hAnsiTheme="majorHAnsi" w:cs="Helvetica"/>
                <w:b/>
                <w:color w:val="231F20"/>
                <w:sz w:val="22"/>
                <w:szCs w:val="22"/>
              </w:rPr>
              <w:t xml:space="preserve"> (100%)</w:t>
            </w:r>
          </w:p>
        </w:tc>
      </w:tr>
    </w:tbl>
    <w:p w14:paraId="310CE4EE" w14:textId="77777777" w:rsidR="00897B69" w:rsidRDefault="00897B69" w:rsidP="00897B69">
      <w:pPr>
        <w:pStyle w:val="NormalWeb"/>
        <w:shd w:val="clear" w:color="auto" w:fill="FFFFFF"/>
        <w:spacing w:before="0" w:beforeAutospacing="0" w:after="150" w:afterAutospacing="0" w:line="336" w:lineRule="atLeast"/>
        <w:rPr>
          <w:rFonts w:asciiTheme="majorHAnsi" w:hAnsiTheme="majorHAnsi" w:cs="Helvetica"/>
          <w:color w:val="231F20"/>
          <w:sz w:val="22"/>
          <w:szCs w:val="22"/>
        </w:rPr>
      </w:pPr>
    </w:p>
    <w:p w14:paraId="58D92D3C" w14:textId="77777777" w:rsidR="007D79EA" w:rsidRPr="007D79EA" w:rsidRDefault="007D79EA" w:rsidP="007D79EA">
      <w:pPr>
        <w:pStyle w:val="NormalWeb"/>
        <w:numPr>
          <w:ilvl w:val="0"/>
          <w:numId w:val="2"/>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Conclusions</w:t>
      </w:r>
    </w:p>
    <w:p w14:paraId="1EA9350F" w14:textId="1B936BFE" w:rsidR="007D79EA" w:rsidRDefault="007D79EA" w:rsidP="007F22B5">
      <w:pPr>
        <w:pStyle w:val="NormalWeb"/>
        <w:numPr>
          <w:ilvl w:val="1"/>
          <w:numId w:val="1"/>
        </w:numPr>
        <w:shd w:val="clear" w:color="auto" w:fill="FFFFFF"/>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 xml:space="preserve">The proposed scheme satisfies local and national planning policy with respect to the provision of affordable housing. </w:t>
      </w:r>
    </w:p>
    <w:p w14:paraId="3B072140" w14:textId="2D3FB067" w:rsidR="007F22B5" w:rsidRDefault="007F22B5" w:rsidP="007F22B5">
      <w:pPr>
        <w:pStyle w:val="NormalWeb"/>
        <w:numPr>
          <w:ilvl w:val="1"/>
          <w:numId w:val="1"/>
        </w:numPr>
        <w:shd w:val="clear" w:color="auto" w:fill="FFFFFF"/>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Our Allocations team have confirmed there is significant demand for Social Rent, 1,2 &amp; 3 bed properties in the locality and our Sales Team have confirmed the same in terms of significant demand for 4 bed Shared Ownership Properties.</w:t>
      </w:r>
      <w:bookmarkStart w:id="0" w:name="_GoBack"/>
      <w:bookmarkEnd w:id="0"/>
    </w:p>
    <w:p w14:paraId="39765BA7" w14:textId="77777777" w:rsidR="007D79EA" w:rsidRDefault="007D79EA"/>
    <w:sectPr w:rsidR="007D79EA" w:rsidSect="00BB12ED">
      <w:headerReference w:type="default" r:id="rId7"/>
      <w:pgSz w:w="11900" w:h="16840"/>
      <w:pgMar w:top="1080" w:right="1818" w:bottom="1080" w:left="170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D741C" w14:textId="77777777" w:rsidR="002D0435" w:rsidRDefault="002D0435" w:rsidP="00082055">
      <w:r>
        <w:separator/>
      </w:r>
    </w:p>
  </w:endnote>
  <w:endnote w:type="continuationSeparator" w:id="0">
    <w:p w14:paraId="2FA07041" w14:textId="77777777" w:rsidR="002D0435" w:rsidRDefault="002D0435" w:rsidP="00082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8B87AF" w14:textId="77777777" w:rsidR="002D0435" w:rsidRDefault="002D0435" w:rsidP="00082055">
      <w:r>
        <w:separator/>
      </w:r>
    </w:p>
  </w:footnote>
  <w:footnote w:type="continuationSeparator" w:id="0">
    <w:p w14:paraId="2E1D117E" w14:textId="77777777" w:rsidR="002D0435" w:rsidRDefault="002D0435" w:rsidP="00082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C3783" w14:textId="23B92946" w:rsidR="00082055" w:rsidRDefault="00E4636D">
    <w:pPr>
      <w:pStyle w:val="Header"/>
    </w:pPr>
    <w:r>
      <w:rPr>
        <w:rFonts w:hint="eastAsia"/>
        <w:noProof/>
        <w:lang w:val="en-GB" w:eastAsia="en-GB"/>
      </w:rPr>
      <w:drawing>
        <wp:anchor distT="0" distB="0" distL="114300" distR="114300" simplePos="0" relativeHeight="251659264" behindDoc="1" locked="0" layoutInCell="1" allowOverlap="1" wp14:anchorId="117122F2" wp14:editId="18E2A6A4">
          <wp:simplePos x="0" y="0"/>
          <wp:positionH relativeFrom="page">
            <wp:align>left</wp:align>
          </wp:positionH>
          <wp:positionV relativeFrom="page">
            <wp:align>top</wp:align>
          </wp:positionV>
          <wp:extent cx="7555151" cy="5086350"/>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TH969 WCH Group Letterheads_IIP Platinum.jpg"/>
                  <pic:cNvPicPr/>
                </pic:nvPicPr>
                <pic:blipFill rotWithShape="1">
                  <a:blip r:embed="rId1">
                    <a:extLst>
                      <a:ext uri="{28A0092B-C50C-407E-A947-70E740481C1C}">
                        <a14:useLocalDpi xmlns:a14="http://schemas.microsoft.com/office/drawing/2010/main" val="0"/>
                      </a:ext>
                    </a:extLst>
                  </a:blip>
                  <a:srcRect b="52406"/>
                  <a:stretch/>
                </pic:blipFill>
                <pic:spPr bwMode="auto">
                  <a:xfrm>
                    <a:off x="0" y="0"/>
                    <a:ext cx="7558650" cy="5088706"/>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26570"/>
    <w:multiLevelType w:val="hybridMultilevel"/>
    <w:tmpl w:val="779C07C0"/>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 w15:restartNumberingAfterBreak="0">
    <w:nsid w:val="48297F36"/>
    <w:multiLevelType w:val="multilevel"/>
    <w:tmpl w:val="2E805E6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6173517B"/>
    <w:multiLevelType w:val="hybridMultilevel"/>
    <w:tmpl w:val="EF5655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905A1C"/>
    <w:multiLevelType w:val="multilevel"/>
    <w:tmpl w:val="0344B6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s>
  <w:rsids>
    <w:rsidRoot w:val="00082055"/>
    <w:rsid w:val="00032CD0"/>
    <w:rsid w:val="00082055"/>
    <w:rsid w:val="000B7F81"/>
    <w:rsid w:val="001F701C"/>
    <w:rsid w:val="002D0435"/>
    <w:rsid w:val="0040702C"/>
    <w:rsid w:val="004628B9"/>
    <w:rsid w:val="00466BCE"/>
    <w:rsid w:val="00677C16"/>
    <w:rsid w:val="00775553"/>
    <w:rsid w:val="007D79EA"/>
    <w:rsid w:val="007F22B5"/>
    <w:rsid w:val="008713B6"/>
    <w:rsid w:val="00897B69"/>
    <w:rsid w:val="00AA15B1"/>
    <w:rsid w:val="00AA4699"/>
    <w:rsid w:val="00AA7649"/>
    <w:rsid w:val="00B44C4D"/>
    <w:rsid w:val="00BA3F64"/>
    <w:rsid w:val="00BB12ED"/>
    <w:rsid w:val="00BC702E"/>
    <w:rsid w:val="00D5181B"/>
    <w:rsid w:val="00D60080"/>
    <w:rsid w:val="00E463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17C6C6E9"/>
  <w14:defaultImageDpi w14:val="300"/>
  <w15:docId w15:val="{ACA36537-05AC-474E-B55E-BDCC61C64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9E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D79E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055"/>
    <w:pPr>
      <w:tabs>
        <w:tab w:val="center" w:pos="4320"/>
        <w:tab w:val="right" w:pos="8640"/>
      </w:tabs>
    </w:pPr>
  </w:style>
  <w:style w:type="character" w:customStyle="1" w:styleId="HeaderChar">
    <w:name w:val="Header Char"/>
    <w:basedOn w:val="DefaultParagraphFont"/>
    <w:link w:val="Header"/>
    <w:uiPriority w:val="99"/>
    <w:rsid w:val="00082055"/>
  </w:style>
  <w:style w:type="paragraph" w:styleId="Footer">
    <w:name w:val="footer"/>
    <w:basedOn w:val="Normal"/>
    <w:link w:val="FooterChar"/>
    <w:uiPriority w:val="99"/>
    <w:unhideWhenUsed/>
    <w:rsid w:val="00082055"/>
    <w:pPr>
      <w:tabs>
        <w:tab w:val="center" w:pos="4320"/>
        <w:tab w:val="right" w:pos="8640"/>
      </w:tabs>
    </w:pPr>
  </w:style>
  <w:style w:type="character" w:customStyle="1" w:styleId="FooterChar">
    <w:name w:val="Footer Char"/>
    <w:basedOn w:val="DefaultParagraphFont"/>
    <w:link w:val="Footer"/>
    <w:uiPriority w:val="99"/>
    <w:rsid w:val="00082055"/>
  </w:style>
  <w:style w:type="character" w:styleId="Hyperlink">
    <w:name w:val="Hyperlink"/>
    <w:basedOn w:val="DefaultParagraphFont"/>
    <w:uiPriority w:val="99"/>
    <w:unhideWhenUsed/>
    <w:rsid w:val="00BC702E"/>
    <w:rPr>
      <w:color w:val="0000FF" w:themeColor="hyperlink"/>
      <w:u w:val="single"/>
    </w:rPr>
  </w:style>
  <w:style w:type="paragraph" w:styleId="BalloonText">
    <w:name w:val="Balloon Text"/>
    <w:basedOn w:val="Normal"/>
    <w:link w:val="BalloonTextChar"/>
    <w:uiPriority w:val="99"/>
    <w:semiHidden/>
    <w:unhideWhenUsed/>
    <w:rsid w:val="00BC702E"/>
    <w:rPr>
      <w:rFonts w:ascii="Tahoma" w:hAnsi="Tahoma" w:cs="Tahoma"/>
      <w:sz w:val="16"/>
      <w:szCs w:val="16"/>
    </w:rPr>
  </w:style>
  <w:style w:type="character" w:customStyle="1" w:styleId="BalloonTextChar">
    <w:name w:val="Balloon Text Char"/>
    <w:basedOn w:val="DefaultParagraphFont"/>
    <w:link w:val="BalloonText"/>
    <w:uiPriority w:val="99"/>
    <w:semiHidden/>
    <w:rsid w:val="00BC702E"/>
    <w:rPr>
      <w:rFonts w:ascii="Tahoma" w:hAnsi="Tahoma" w:cs="Tahoma"/>
      <w:sz w:val="16"/>
      <w:szCs w:val="16"/>
    </w:rPr>
  </w:style>
  <w:style w:type="paragraph" w:styleId="NormalWeb">
    <w:name w:val="Normal (Web)"/>
    <w:basedOn w:val="Normal"/>
    <w:uiPriority w:val="99"/>
    <w:semiHidden/>
    <w:unhideWhenUsed/>
    <w:rsid w:val="00B44C4D"/>
    <w:pPr>
      <w:spacing w:before="100" w:beforeAutospacing="1" w:after="100" w:afterAutospacing="1"/>
    </w:pPr>
    <w:rPr>
      <w:rFonts w:ascii="Times New Roman" w:eastAsia="Times New Roman" w:hAnsi="Times New Roman" w:cs="Times New Roman"/>
      <w:lang w:val="en-GB" w:eastAsia="en-GB"/>
    </w:rPr>
  </w:style>
  <w:style w:type="paragraph" w:styleId="ListParagraph">
    <w:name w:val="List Paragraph"/>
    <w:basedOn w:val="Normal"/>
    <w:uiPriority w:val="34"/>
    <w:qFormat/>
    <w:rsid w:val="004628B9"/>
    <w:pPr>
      <w:ind w:left="720"/>
      <w:contextualSpacing/>
    </w:pPr>
  </w:style>
  <w:style w:type="table" w:styleId="TableGrid">
    <w:name w:val="Table Grid"/>
    <w:basedOn w:val="TableNormal"/>
    <w:uiPriority w:val="59"/>
    <w:rsid w:val="00407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D79E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D79EA"/>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D79E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D79E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897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6455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Astwood Design</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Burgess</dc:creator>
  <cp:lastModifiedBy>James Garner</cp:lastModifiedBy>
  <cp:revision>2</cp:revision>
  <cp:lastPrinted>2019-03-11T10:57:00Z</cp:lastPrinted>
  <dcterms:created xsi:type="dcterms:W3CDTF">2024-06-14T12:22:00Z</dcterms:created>
  <dcterms:modified xsi:type="dcterms:W3CDTF">2024-06-14T12:22:00Z</dcterms:modified>
</cp:coreProperties>
</file>