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418736" w14:textId="77777777" w:rsidR="00C05BE9" w:rsidRDefault="00784DAE">
      <w:pPr>
        <w:jc w:val="right"/>
        <w:rPr>
          <w:rFonts w:cs="Arial"/>
          <w:szCs w:val="24"/>
        </w:rPr>
      </w:pPr>
      <w:r>
        <w:rPr>
          <w:noProof/>
        </w:rPr>
        <w:drawing>
          <wp:inline distT="0" distB="0" distL="0" distR="0" wp14:anchorId="1A3C81A5" wp14:editId="1E464EB1">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0CECDAF7" w14:textId="77777777" w:rsidR="00C05BE9" w:rsidRDefault="00C05BE9">
      <w:pPr>
        <w:jc w:val="right"/>
        <w:rPr>
          <w:rFonts w:cs="Arial"/>
          <w:szCs w:val="24"/>
        </w:rPr>
      </w:pPr>
    </w:p>
    <w:p w14:paraId="7598FFFB" w14:textId="77777777" w:rsidR="00C05BE9" w:rsidRDefault="00784DAE">
      <w:pPr>
        <w:spacing w:line="360" w:lineRule="auto"/>
        <w:rPr>
          <w:rFonts w:cs="Arial"/>
          <w:b/>
          <w:sz w:val="32"/>
          <w:szCs w:val="24"/>
        </w:rPr>
      </w:pPr>
      <w:r>
        <w:rPr>
          <w:rFonts w:cs="Arial"/>
          <w:b/>
          <w:sz w:val="32"/>
          <w:szCs w:val="24"/>
        </w:rPr>
        <w:t>Planning</w:t>
      </w:r>
    </w:p>
    <w:p w14:paraId="09A1409D" w14:textId="77777777" w:rsidR="00C05BE9" w:rsidRDefault="00784DAE">
      <w:pPr>
        <w:spacing w:line="360" w:lineRule="auto"/>
        <w:rPr>
          <w:rFonts w:cs="Arial"/>
          <w:b/>
          <w:sz w:val="32"/>
          <w:szCs w:val="24"/>
        </w:rPr>
      </w:pPr>
      <w:r>
        <w:rPr>
          <w:rFonts w:cs="Arial"/>
          <w:b/>
          <w:sz w:val="32"/>
          <w:szCs w:val="24"/>
        </w:rPr>
        <w:t>Growth &amp; Development</w:t>
      </w:r>
    </w:p>
    <w:p w14:paraId="0A388767" w14:textId="77777777" w:rsidR="00C05BE9" w:rsidRDefault="00784DAE">
      <w:pPr>
        <w:spacing w:line="360" w:lineRule="auto"/>
        <w:rPr>
          <w:rFonts w:cs="Arial"/>
          <w:szCs w:val="24"/>
        </w:rPr>
      </w:pPr>
      <w:r>
        <w:rPr>
          <w:rFonts w:cs="Arial"/>
          <w:b/>
          <w:sz w:val="32"/>
          <w:szCs w:val="24"/>
        </w:rPr>
        <w:t>Delegated officer report for planning application</w:t>
      </w:r>
    </w:p>
    <w:p w14:paraId="35AF2F05" w14:textId="77777777" w:rsidR="00C05BE9" w:rsidRDefault="00C05BE9">
      <w:pPr>
        <w:rPr>
          <w:rFonts w:cs="Arial"/>
          <w:szCs w:val="24"/>
        </w:rPr>
      </w:pPr>
    </w:p>
    <w:p w14:paraId="1CAB99ED" w14:textId="77777777" w:rsidR="00C05BE9" w:rsidRDefault="00C05BE9">
      <w:pPr>
        <w:rPr>
          <w:rFonts w:cs="Arial"/>
          <w:szCs w:val="24"/>
        </w:rPr>
      </w:pPr>
    </w:p>
    <w:p w14:paraId="7E3CDB08" w14:textId="77777777" w:rsidR="00C05BE9" w:rsidRDefault="00784DAE">
      <w:pPr>
        <w:spacing w:after="120"/>
        <w:ind w:left="2693" w:hanging="2693"/>
        <w:rPr>
          <w:rFonts w:cs="Arial"/>
          <w:szCs w:val="24"/>
        </w:rPr>
      </w:pPr>
      <w:r>
        <w:rPr>
          <w:rFonts w:cs="Arial"/>
          <w:b/>
          <w:szCs w:val="24"/>
        </w:rPr>
        <w:t>Application no.</w:t>
      </w:r>
      <w:r>
        <w:rPr>
          <w:rFonts w:cs="Arial"/>
          <w:szCs w:val="24"/>
        </w:rPr>
        <w:tab/>
        <w:t>129025/LE/2020</w:t>
      </w:r>
    </w:p>
    <w:p w14:paraId="7FABBC1C" w14:textId="77777777" w:rsidR="00C05BE9" w:rsidRDefault="00784DAE">
      <w:pPr>
        <w:spacing w:after="120"/>
        <w:ind w:left="2693" w:hanging="2693"/>
        <w:rPr>
          <w:rFonts w:cs="Arial"/>
          <w:szCs w:val="24"/>
        </w:rPr>
      </w:pPr>
      <w:r>
        <w:rPr>
          <w:rFonts w:cs="Arial"/>
          <w:b/>
          <w:szCs w:val="24"/>
        </w:rPr>
        <w:t>Date registered valid:</w:t>
      </w:r>
      <w:r>
        <w:rPr>
          <w:rFonts w:cs="Arial"/>
          <w:b/>
          <w:szCs w:val="24"/>
        </w:rPr>
        <w:tab/>
      </w:r>
      <w:r>
        <w:rPr>
          <w:rFonts w:cs="Arial"/>
          <w:szCs w:val="24"/>
        </w:rPr>
        <w:t>31 December 2020</w:t>
      </w:r>
    </w:p>
    <w:p w14:paraId="7A5C8843" w14:textId="77777777" w:rsidR="00C05BE9" w:rsidRDefault="00784DAE">
      <w:pPr>
        <w:spacing w:after="120"/>
        <w:ind w:left="2693" w:hanging="2693"/>
        <w:rPr>
          <w:rFonts w:cs="Arial"/>
          <w:szCs w:val="24"/>
        </w:rPr>
      </w:pPr>
      <w:r>
        <w:rPr>
          <w:rFonts w:cs="Arial"/>
          <w:b/>
          <w:szCs w:val="24"/>
        </w:rPr>
        <w:t>Proposal:</w:t>
      </w:r>
      <w:r>
        <w:rPr>
          <w:rFonts w:cs="Arial"/>
          <w:b/>
          <w:szCs w:val="24"/>
        </w:rPr>
        <w:tab/>
      </w:r>
      <w:r>
        <w:rPr>
          <w:rFonts w:cs="Arial"/>
          <w:szCs w:val="24"/>
        </w:rPr>
        <w:t>Certificate of lawful existing use of the property as a C4 use (House in multiple occupation)</w:t>
      </w:r>
    </w:p>
    <w:p w14:paraId="4AE4698D" w14:textId="77777777" w:rsidR="00C05BE9" w:rsidRDefault="00784DAE">
      <w:pPr>
        <w:spacing w:after="120"/>
        <w:ind w:left="2693" w:hanging="2693"/>
        <w:rPr>
          <w:rFonts w:cs="Arial"/>
          <w:szCs w:val="24"/>
        </w:rPr>
      </w:pPr>
      <w:r>
        <w:rPr>
          <w:rFonts w:cs="Arial"/>
          <w:b/>
          <w:szCs w:val="24"/>
        </w:rPr>
        <w:t>Address:</w:t>
      </w:r>
      <w:r>
        <w:rPr>
          <w:rFonts w:cs="Arial"/>
          <w:szCs w:val="24"/>
        </w:rPr>
        <w:tab/>
        <w:t>9 Wallace Avenue, Manchester, M14 5HH</w:t>
      </w:r>
    </w:p>
    <w:p w14:paraId="37B21FC3" w14:textId="77777777" w:rsidR="00C05BE9" w:rsidRDefault="00784DAE">
      <w:pPr>
        <w:spacing w:after="120"/>
        <w:ind w:left="2693" w:hanging="2693"/>
        <w:rPr>
          <w:rFonts w:cs="Arial"/>
          <w:szCs w:val="24"/>
        </w:rPr>
      </w:pPr>
      <w:r>
        <w:rPr>
          <w:rFonts w:cs="Arial"/>
          <w:b/>
          <w:szCs w:val="24"/>
        </w:rPr>
        <w:t>Ward(s):</w:t>
      </w:r>
      <w:r>
        <w:rPr>
          <w:rFonts w:cs="Arial"/>
          <w:szCs w:val="24"/>
        </w:rPr>
        <w:tab/>
        <w:t>Rusholme Ward</w:t>
      </w:r>
      <w:r>
        <w:rPr>
          <w:rFonts w:cs="Arial"/>
          <w:szCs w:val="24"/>
        </w:rPr>
        <w:br/>
      </w:r>
    </w:p>
    <w:p w14:paraId="47795800" w14:textId="08DDA064" w:rsidR="00C05BE9" w:rsidRDefault="00784DAE">
      <w:pPr>
        <w:spacing w:after="120"/>
        <w:ind w:left="2693" w:hanging="2693"/>
        <w:rPr>
          <w:rFonts w:cs="Arial"/>
          <w:szCs w:val="24"/>
        </w:rPr>
      </w:pPr>
      <w:r>
        <w:rPr>
          <w:rFonts w:cs="Arial"/>
          <w:b/>
          <w:szCs w:val="24"/>
        </w:rPr>
        <w:t>Applicant:</w:t>
      </w:r>
      <w:r>
        <w:rPr>
          <w:rFonts w:cs="Arial"/>
          <w:szCs w:val="24"/>
        </w:rPr>
        <w:tab/>
        <w:t>Mr James Adams</w:t>
      </w:r>
      <w:r w:rsidR="00A44FEE">
        <w:rPr>
          <w:rFonts w:cs="Arial"/>
          <w:szCs w:val="24"/>
        </w:rPr>
        <w:t>,</w:t>
      </w:r>
      <w:r>
        <w:rPr>
          <w:rFonts w:cs="Arial"/>
          <w:szCs w:val="24"/>
        </w:rPr>
        <w:t xml:space="preserve"> Fairholm Estates Ltd</w:t>
      </w:r>
      <w:r w:rsidR="00A44FEE">
        <w:rPr>
          <w:rFonts w:cs="Arial"/>
          <w:szCs w:val="24"/>
        </w:rPr>
        <w:t>,</w:t>
      </w:r>
      <w:r>
        <w:rPr>
          <w:rFonts w:cs="Arial"/>
          <w:szCs w:val="24"/>
        </w:rPr>
        <w:t xml:space="preserve"> 30B Downleaze, Stoke Bishop, Bristol, BS9 1LY</w:t>
      </w:r>
    </w:p>
    <w:p w14:paraId="1531E1E0" w14:textId="77777777" w:rsidR="00C05BE9" w:rsidRDefault="00784DAE">
      <w:pPr>
        <w:spacing w:after="120"/>
        <w:ind w:left="2693" w:hanging="2693"/>
        <w:rPr>
          <w:rFonts w:cs="Arial"/>
          <w:szCs w:val="24"/>
        </w:rPr>
      </w:pPr>
      <w:r>
        <w:rPr>
          <w:rFonts w:cs="Arial"/>
          <w:b/>
          <w:szCs w:val="24"/>
        </w:rPr>
        <w:t>Agent (if any):</w:t>
      </w:r>
      <w:r>
        <w:rPr>
          <w:rFonts w:cs="Arial"/>
          <w:szCs w:val="24"/>
        </w:rPr>
        <w:tab/>
        <w:t xml:space="preserve">  </w:t>
      </w:r>
    </w:p>
    <w:p w14:paraId="35B31B1A" w14:textId="77777777" w:rsidR="00C05BE9" w:rsidRDefault="00784DAE">
      <w:pPr>
        <w:spacing w:after="120"/>
        <w:ind w:left="2693" w:hanging="2693"/>
        <w:rPr>
          <w:rFonts w:cs="Arial"/>
          <w:szCs w:val="24"/>
        </w:rPr>
      </w:pPr>
      <w:r>
        <w:rPr>
          <w:rFonts w:cs="Arial"/>
          <w:b/>
          <w:szCs w:val="24"/>
        </w:rPr>
        <w:t>Case officer:</w:t>
      </w:r>
      <w:r>
        <w:rPr>
          <w:rFonts w:cs="Arial"/>
          <w:szCs w:val="24"/>
        </w:rPr>
        <w:tab/>
        <w:t>Janet Lawless</w:t>
      </w:r>
      <w:r>
        <w:rPr>
          <w:rFonts w:cs="Arial"/>
          <w:szCs w:val="24"/>
        </w:rPr>
        <w:br/>
        <w:t>Tel: 0161 234 4535</w:t>
      </w:r>
      <w:r>
        <w:rPr>
          <w:rFonts w:cs="Arial"/>
          <w:szCs w:val="24"/>
        </w:rPr>
        <w:br/>
        <w:t>Email: janet.lawless@manchester.gov.uk</w:t>
      </w:r>
    </w:p>
    <w:p w14:paraId="33238E49" w14:textId="403E30E6" w:rsidR="00C05BE9" w:rsidRDefault="00784DAE">
      <w:pPr>
        <w:spacing w:after="120"/>
        <w:ind w:left="2693" w:hanging="2693"/>
        <w:rPr>
          <w:rFonts w:cs="Arial"/>
          <w:szCs w:val="24"/>
        </w:rPr>
      </w:pPr>
      <w:r>
        <w:rPr>
          <w:rFonts w:cs="Arial"/>
          <w:b/>
          <w:szCs w:val="24"/>
        </w:rPr>
        <w:t>Recommendation:</w:t>
      </w:r>
      <w:r>
        <w:rPr>
          <w:rFonts w:cs="Arial"/>
          <w:szCs w:val="24"/>
        </w:rPr>
        <w:tab/>
      </w:r>
      <w:r w:rsidR="005F1E70">
        <w:rPr>
          <w:rFonts w:cs="Arial"/>
          <w:szCs w:val="24"/>
        </w:rPr>
        <w:t>Approve</w:t>
      </w:r>
      <w:r>
        <w:rPr>
          <w:rFonts w:cs="Arial"/>
          <w:szCs w:val="24"/>
        </w:rPr>
        <w:t xml:space="preserve">       </w:t>
      </w:r>
    </w:p>
    <w:p w14:paraId="76165830" w14:textId="77777777" w:rsidR="00C05BE9" w:rsidRDefault="00784DAE">
      <w:pPr>
        <w:spacing w:after="120"/>
        <w:ind w:left="2693" w:hanging="2693"/>
        <w:rPr>
          <w:rFonts w:cs="Arial"/>
          <w:szCs w:val="24"/>
        </w:rPr>
      </w:pPr>
      <w:r>
        <w:rPr>
          <w:rFonts w:cs="Arial"/>
          <w:b/>
          <w:szCs w:val="24"/>
        </w:rPr>
        <w:t>Date of recommendation:</w:t>
      </w:r>
      <w:r>
        <w:rPr>
          <w:rFonts w:cs="Arial"/>
          <w:b/>
          <w:szCs w:val="24"/>
        </w:rPr>
        <w:tab/>
      </w:r>
      <w:r>
        <w:rPr>
          <w:rFonts w:cs="Arial"/>
          <w:szCs w:val="24"/>
        </w:rPr>
        <w:t>2 February 2021</w:t>
      </w:r>
    </w:p>
    <w:p w14:paraId="52422930" w14:textId="77777777" w:rsidR="00C05BE9" w:rsidRDefault="00C05BE9">
      <w:pPr>
        <w:ind w:left="2694" w:hanging="2694"/>
        <w:rPr>
          <w:rFonts w:cs="Arial"/>
          <w:szCs w:val="24"/>
        </w:rPr>
      </w:pPr>
    </w:p>
    <w:p w14:paraId="4F330B1A" w14:textId="77777777" w:rsidR="00C05BE9" w:rsidRDefault="00784DAE">
      <w:pPr>
        <w:spacing w:after="160" w:line="259" w:lineRule="auto"/>
        <w:rPr>
          <w:rFonts w:cs="Arial"/>
          <w:szCs w:val="24"/>
        </w:rPr>
      </w:pPr>
      <w:r>
        <w:rPr>
          <w:rFonts w:cs="Arial"/>
          <w:szCs w:val="24"/>
        </w:rPr>
        <w:br w:type="page"/>
      </w:r>
    </w:p>
    <w:p w14:paraId="743DB72A" w14:textId="77777777" w:rsidR="00C05BE9" w:rsidRDefault="00784DAE">
      <w:pPr>
        <w:ind w:left="2694" w:hanging="2694"/>
        <w:rPr>
          <w:rFonts w:cs="Arial"/>
          <w:b/>
          <w:szCs w:val="24"/>
          <w:u w:val="single"/>
        </w:rPr>
      </w:pPr>
      <w:r>
        <w:rPr>
          <w:rFonts w:cs="Arial"/>
          <w:b/>
          <w:szCs w:val="24"/>
          <w:u w:val="single"/>
        </w:rPr>
        <w:lastRenderedPageBreak/>
        <w:t>Application details</w:t>
      </w:r>
    </w:p>
    <w:p w14:paraId="7EA8B479" w14:textId="77777777" w:rsidR="00C05BE9" w:rsidRDefault="00C05BE9">
      <w:pPr>
        <w:ind w:left="2694" w:hanging="2694"/>
        <w:rPr>
          <w:rFonts w:cs="Arial"/>
          <w:szCs w:val="24"/>
        </w:rPr>
      </w:pPr>
    </w:p>
    <w:p w14:paraId="29208DA7" w14:textId="77777777" w:rsidR="00C05BE9" w:rsidRDefault="00784DAE">
      <w:pPr>
        <w:ind w:left="2694" w:hanging="2694"/>
        <w:rPr>
          <w:rFonts w:cs="Arial"/>
          <w:szCs w:val="24"/>
        </w:rPr>
      </w:pPr>
      <w:r>
        <w:rPr>
          <w:rFonts w:cs="Arial"/>
          <w:b/>
          <w:szCs w:val="24"/>
        </w:rPr>
        <w:t>Type of application:</w:t>
      </w:r>
      <w:r>
        <w:rPr>
          <w:rFonts w:cs="Arial"/>
          <w:szCs w:val="24"/>
        </w:rPr>
        <w:tab/>
        <w:t>Certificate Lawful Development Existing</w:t>
      </w:r>
    </w:p>
    <w:p w14:paraId="60E717B5" w14:textId="77777777" w:rsidR="00C05BE9" w:rsidRDefault="00C05BE9">
      <w:pPr>
        <w:ind w:left="2694" w:hanging="2694"/>
        <w:rPr>
          <w:rFonts w:cs="Arial"/>
          <w:szCs w:val="24"/>
        </w:rPr>
      </w:pPr>
    </w:p>
    <w:p w14:paraId="1C856501" w14:textId="77777777" w:rsidR="00C05BE9" w:rsidRDefault="00784DAE">
      <w:pPr>
        <w:ind w:left="2694" w:hanging="2694"/>
        <w:rPr>
          <w:rFonts w:cs="Arial"/>
          <w:szCs w:val="24"/>
        </w:rPr>
      </w:pPr>
      <w:r>
        <w:rPr>
          <w:rFonts w:cs="Arial"/>
          <w:b/>
          <w:szCs w:val="24"/>
        </w:rPr>
        <w:t>Development type:</w:t>
      </w:r>
      <w:r>
        <w:rPr>
          <w:rFonts w:cs="Arial"/>
          <w:szCs w:val="24"/>
        </w:rPr>
        <w:tab/>
        <w:t>Certificates of lawfulness</w:t>
      </w:r>
    </w:p>
    <w:p w14:paraId="4480A091" w14:textId="77777777" w:rsidR="00C05BE9" w:rsidRDefault="00C05BE9">
      <w:pPr>
        <w:ind w:left="2694" w:hanging="2694"/>
        <w:rPr>
          <w:rFonts w:cs="Arial"/>
          <w:szCs w:val="24"/>
        </w:rPr>
      </w:pPr>
    </w:p>
    <w:p w14:paraId="159CC647" w14:textId="2D32A199" w:rsidR="00C05BE9" w:rsidRDefault="00784DAE">
      <w:pPr>
        <w:ind w:left="2694" w:hanging="2694"/>
        <w:rPr>
          <w:rFonts w:cs="Arial"/>
          <w:szCs w:val="24"/>
        </w:rPr>
      </w:pPr>
      <w:r>
        <w:rPr>
          <w:rFonts w:cs="Arial"/>
          <w:b/>
          <w:szCs w:val="24"/>
        </w:rPr>
        <w:t>Date of site visit:</w:t>
      </w:r>
      <w:r>
        <w:rPr>
          <w:rFonts w:cs="Arial"/>
          <w:szCs w:val="24"/>
        </w:rPr>
        <w:tab/>
      </w:r>
      <w:r w:rsidR="005F1E70">
        <w:rPr>
          <w:rFonts w:cs="Arial"/>
          <w:szCs w:val="24"/>
        </w:rPr>
        <w:t>Non required for this type of application</w:t>
      </w:r>
    </w:p>
    <w:p w14:paraId="3A6F3EFA" w14:textId="77777777" w:rsidR="00C05BE9" w:rsidRDefault="00C05BE9">
      <w:pPr>
        <w:ind w:left="2694" w:hanging="2694"/>
        <w:rPr>
          <w:rFonts w:cs="Arial"/>
          <w:szCs w:val="24"/>
        </w:rPr>
      </w:pPr>
    </w:p>
    <w:p w14:paraId="58CFC49A" w14:textId="77777777" w:rsidR="00C05BE9" w:rsidRDefault="00784DAE">
      <w:pPr>
        <w:ind w:left="2694" w:hanging="2694"/>
        <w:rPr>
          <w:rFonts w:cs="Arial"/>
          <w:b/>
          <w:szCs w:val="24"/>
        </w:rPr>
      </w:pPr>
      <w:r>
        <w:rPr>
          <w:rFonts w:cs="Arial"/>
          <w:b/>
          <w:szCs w:val="24"/>
        </w:rPr>
        <w:t>Standard consultations:</w:t>
      </w:r>
    </w:p>
    <w:p w14:paraId="35B6223C" w14:textId="77777777" w:rsidR="00C05BE9" w:rsidRDefault="00784DAE">
      <w:pPr>
        <w:rPr>
          <w:rFonts w:cs="Arial"/>
          <w:szCs w:val="24"/>
        </w:rPr>
      </w:pPr>
      <w:r>
        <w:rPr>
          <w:rFonts w:cs="Arial"/>
          <w:szCs w:val="24"/>
        </w:rPr>
        <w:t xml:space="preserve">No consultations have been printed and sent. </w:t>
      </w:r>
    </w:p>
    <w:p w14:paraId="274C2CEB" w14:textId="77777777" w:rsidR="00C05BE9" w:rsidRDefault="00C05BE9">
      <w:pPr>
        <w:rPr>
          <w:rFonts w:cs="Arial"/>
          <w:szCs w:val="24"/>
        </w:rPr>
      </w:pPr>
    </w:p>
    <w:p w14:paraId="3063F409" w14:textId="77777777" w:rsidR="00C05BE9" w:rsidRDefault="00784DAE">
      <w:pPr>
        <w:ind w:left="2694" w:hanging="2694"/>
        <w:rPr>
          <w:rFonts w:cs="Arial"/>
          <w:b/>
          <w:szCs w:val="24"/>
        </w:rPr>
      </w:pPr>
      <w:r>
        <w:rPr>
          <w:rFonts w:cs="Arial"/>
          <w:b/>
          <w:szCs w:val="24"/>
        </w:rPr>
        <w:t>Neighbour notifications</w:t>
      </w:r>
    </w:p>
    <w:p w14:paraId="0595CDBF" w14:textId="77777777" w:rsidR="00C05BE9" w:rsidRDefault="00784DAE">
      <w:pPr>
        <w:rPr>
          <w:rFonts w:cs="Arial"/>
          <w:szCs w:val="24"/>
        </w:rPr>
      </w:pPr>
      <w:r>
        <w:rPr>
          <w:rFonts w:cs="Arial"/>
          <w:szCs w:val="24"/>
        </w:rPr>
        <w:t xml:space="preserve">Printed: 6 January 2021 </w:t>
      </w:r>
      <w:r>
        <w:rPr>
          <w:rFonts w:cs="Arial"/>
          <w:szCs w:val="24"/>
        </w:rPr>
        <w:tab/>
        <w:t>Expired: 27 January 2021</w:t>
      </w:r>
    </w:p>
    <w:p w14:paraId="5F02CF02" w14:textId="77777777" w:rsidR="00C05BE9" w:rsidRDefault="00C05BE9">
      <w:pPr>
        <w:ind w:left="2694" w:hanging="2694"/>
        <w:rPr>
          <w:rFonts w:cs="Arial"/>
          <w:szCs w:val="24"/>
        </w:rPr>
      </w:pPr>
    </w:p>
    <w:p w14:paraId="09CC6987" w14:textId="77777777" w:rsidR="00C05BE9" w:rsidRDefault="00784DAE">
      <w:pPr>
        <w:ind w:left="2694" w:hanging="2694"/>
        <w:rPr>
          <w:rFonts w:cs="Arial"/>
          <w:b/>
          <w:szCs w:val="24"/>
        </w:rPr>
      </w:pPr>
      <w:r>
        <w:rPr>
          <w:rFonts w:cs="Arial"/>
          <w:b/>
          <w:szCs w:val="24"/>
        </w:rPr>
        <w:t>Site notice</w:t>
      </w:r>
    </w:p>
    <w:p w14:paraId="01F925CE" w14:textId="77777777" w:rsidR="00C05BE9" w:rsidRDefault="00784DAE">
      <w:pPr>
        <w:rPr>
          <w:rFonts w:cs="Arial"/>
          <w:szCs w:val="24"/>
        </w:rPr>
      </w:pPr>
      <w:r>
        <w:rPr>
          <w:rFonts w:cs="Arial"/>
          <w:szCs w:val="24"/>
        </w:rPr>
        <w:t xml:space="preserve">No site notice has been produced </w:t>
      </w:r>
    </w:p>
    <w:p w14:paraId="4E2C076F" w14:textId="77777777" w:rsidR="00C05BE9" w:rsidRDefault="00C05BE9">
      <w:pPr>
        <w:ind w:left="2694" w:hanging="2694"/>
        <w:rPr>
          <w:rFonts w:cs="Arial"/>
          <w:szCs w:val="24"/>
        </w:rPr>
      </w:pPr>
    </w:p>
    <w:p w14:paraId="0A25FEA1" w14:textId="77777777" w:rsidR="00C05BE9" w:rsidRDefault="00784DAE">
      <w:pPr>
        <w:ind w:left="2694" w:hanging="2694"/>
        <w:rPr>
          <w:rFonts w:cs="Arial"/>
          <w:b/>
          <w:szCs w:val="24"/>
        </w:rPr>
      </w:pPr>
      <w:r>
        <w:rPr>
          <w:rFonts w:cs="Arial"/>
          <w:b/>
          <w:szCs w:val="24"/>
        </w:rPr>
        <w:t>Press advert</w:t>
      </w:r>
    </w:p>
    <w:p w14:paraId="6EA60DAC" w14:textId="77777777" w:rsidR="00C05BE9" w:rsidRDefault="00784DAE">
      <w:pPr>
        <w:rPr>
          <w:rFonts w:cs="Arial"/>
          <w:szCs w:val="24"/>
        </w:rPr>
      </w:pPr>
      <w:r>
        <w:rPr>
          <w:rFonts w:cs="Arial"/>
          <w:szCs w:val="24"/>
        </w:rPr>
        <w:t xml:space="preserve">No press advert had been published </w:t>
      </w:r>
    </w:p>
    <w:p w14:paraId="73677F9C" w14:textId="77777777" w:rsidR="00C05BE9" w:rsidRDefault="00C05BE9">
      <w:pPr>
        <w:ind w:left="2694" w:hanging="2694"/>
        <w:rPr>
          <w:rFonts w:cs="Arial"/>
          <w:szCs w:val="24"/>
        </w:rPr>
      </w:pPr>
    </w:p>
    <w:p w14:paraId="649774E3" w14:textId="77777777" w:rsidR="00C05BE9" w:rsidRDefault="00784DAE">
      <w:pPr>
        <w:rPr>
          <w:rFonts w:cs="Arial"/>
          <w:szCs w:val="24"/>
        </w:rPr>
      </w:pPr>
      <w:r>
        <w:rPr>
          <w:rFonts w:cs="Arial"/>
          <w:b/>
          <w:szCs w:val="24"/>
        </w:rPr>
        <w:t>Departure from Development Plan:</w:t>
      </w:r>
      <w:r>
        <w:rPr>
          <w:rFonts w:cs="Arial"/>
          <w:szCs w:val="24"/>
        </w:rPr>
        <w:t xml:space="preserve"> </w:t>
      </w:r>
      <w:r>
        <w:rPr>
          <w:rFonts w:cs="Arial"/>
          <w:szCs w:val="24"/>
        </w:rPr>
        <w:tab/>
        <w:t>No</w:t>
      </w:r>
    </w:p>
    <w:p w14:paraId="216C13FD" w14:textId="77777777" w:rsidR="00C05BE9" w:rsidRDefault="00C05BE9">
      <w:pPr>
        <w:ind w:left="2694" w:hanging="2694"/>
        <w:rPr>
          <w:rFonts w:cs="Arial"/>
          <w:szCs w:val="24"/>
        </w:rPr>
      </w:pPr>
    </w:p>
    <w:p w14:paraId="4A479D7D" w14:textId="77777777" w:rsidR="00C05BE9" w:rsidRDefault="00784DAE">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38719050" w14:textId="77777777" w:rsidR="00C05BE9" w:rsidRDefault="00C05BE9">
      <w:pPr>
        <w:ind w:left="2694" w:hanging="2694"/>
        <w:rPr>
          <w:rFonts w:cs="Arial"/>
          <w:szCs w:val="24"/>
        </w:rPr>
      </w:pPr>
    </w:p>
    <w:p w14:paraId="77BA26F9" w14:textId="77777777" w:rsidR="00C05BE9" w:rsidRDefault="00784DAE">
      <w:pPr>
        <w:ind w:left="2694" w:hanging="2694"/>
        <w:rPr>
          <w:rFonts w:cs="Arial"/>
          <w:b/>
          <w:szCs w:val="24"/>
          <w:u w:val="single"/>
        </w:rPr>
      </w:pPr>
      <w:r>
        <w:rPr>
          <w:rFonts w:cs="Arial"/>
          <w:b/>
          <w:szCs w:val="24"/>
          <w:u w:val="single"/>
        </w:rPr>
        <w:t>Description of site/building</w:t>
      </w:r>
    </w:p>
    <w:p w14:paraId="0BC52DB3" w14:textId="77777777" w:rsidR="005F1E70" w:rsidRDefault="005F1E70" w:rsidP="005F1E70">
      <w:pPr>
        <w:rPr>
          <w:rFonts w:cs="Arial"/>
          <w:szCs w:val="24"/>
        </w:rPr>
      </w:pPr>
      <w:r>
        <w:rPr>
          <w:rFonts w:cs="Arial"/>
          <w:szCs w:val="24"/>
        </w:rPr>
        <w:t>The property that is the subject of this Certificate of Lawful Development for an existing use is identified as 9 Wallace Avenue which is a cul-de-sac. The property is a red brick terraced property in the Rusholme ward of Manchester. It is 2 storey and is bay fronted. It sits to the back of pavement to the frontage with has a small step to the front entrance door. There is an alleyway to the rear of the property and the rear yard is accessed via this through a pedestrian gate. The boundary to the rear comprises of 1.8 m high brick wall with coping stones to the top.</w:t>
      </w:r>
    </w:p>
    <w:p w14:paraId="2676E174" w14:textId="77777777" w:rsidR="005F1E70" w:rsidRDefault="005F1E70" w:rsidP="005F1E70">
      <w:pPr>
        <w:rPr>
          <w:rFonts w:cs="Arial"/>
          <w:szCs w:val="24"/>
        </w:rPr>
      </w:pPr>
    </w:p>
    <w:p w14:paraId="0E2F8665" w14:textId="77777777" w:rsidR="005F1E70" w:rsidRDefault="005F1E70" w:rsidP="005F1E70">
      <w:pPr>
        <w:rPr>
          <w:rFonts w:cs="Arial"/>
          <w:szCs w:val="24"/>
        </w:rPr>
      </w:pPr>
      <w:r>
        <w:rPr>
          <w:rFonts w:cs="Arial"/>
          <w:szCs w:val="24"/>
        </w:rPr>
        <w:t>There is no in curtilage parking provided with the property, however, it is located within a</w:t>
      </w:r>
    </w:p>
    <w:p w14:paraId="4A9C66FF" w14:textId="6D282FDB" w:rsidR="005F1E70" w:rsidRDefault="005F1E70" w:rsidP="005F1E70">
      <w:pPr>
        <w:ind w:left="2694" w:hanging="2694"/>
        <w:rPr>
          <w:rFonts w:cs="Arial"/>
          <w:szCs w:val="24"/>
        </w:rPr>
      </w:pPr>
      <w:r>
        <w:rPr>
          <w:rFonts w:cs="Arial"/>
          <w:szCs w:val="24"/>
        </w:rPr>
        <w:t>sustainable area for modes of public transport. Access around the area is also possible on</w:t>
      </w:r>
    </w:p>
    <w:p w14:paraId="3B761D76" w14:textId="3CE847B0" w:rsidR="00C05BE9" w:rsidRDefault="005F1E70" w:rsidP="005F1E70">
      <w:pPr>
        <w:ind w:left="2694" w:hanging="2694"/>
        <w:rPr>
          <w:rFonts w:cs="Arial"/>
          <w:szCs w:val="24"/>
        </w:rPr>
      </w:pPr>
      <w:r>
        <w:rPr>
          <w:rFonts w:cs="Arial"/>
          <w:szCs w:val="24"/>
        </w:rPr>
        <w:t>cycle.</w:t>
      </w:r>
    </w:p>
    <w:p w14:paraId="238192C5" w14:textId="77777777" w:rsidR="005F1E70" w:rsidRDefault="005F1E70">
      <w:pPr>
        <w:rPr>
          <w:rFonts w:cs="Arial"/>
          <w:b/>
          <w:szCs w:val="24"/>
        </w:rPr>
      </w:pPr>
    </w:p>
    <w:p w14:paraId="3D550D36" w14:textId="37AA8373" w:rsidR="00C05BE9" w:rsidRDefault="00784DAE">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02E8A630" w14:textId="77777777" w:rsidR="00C05BE9" w:rsidRDefault="00C05BE9">
      <w:pPr>
        <w:ind w:left="2694" w:hanging="2694"/>
        <w:rPr>
          <w:rFonts w:cs="Arial"/>
          <w:szCs w:val="24"/>
        </w:rPr>
      </w:pPr>
    </w:p>
    <w:p w14:paraId="323C438C" w14:textId="1E6AB12B" w:rsidR="00C05BE9" w:rsidRDefault="00784DAE">
      <w:pPr>
        <w:rPr>
          <w:rFonts w:cs="Arial"/>
          <w:szCs w:val="24"/>
        </w:rPr>
      </w:pPr>
      <w:r>
        <w:rPr>
          <w:rFonts w:cs="Arial"/>
          <w:b/>
          <w:szCs w:val="24"/>
        </w:rPr>
        <w:t>Conservation area:</w:t>
      </w:r>
      <w:r>
        <w:rPr>
          <w:rFonts w:cs="Arial"/>
          <w:szCs w:val="24"/>
        </w:rPr>
        <w:t xml:space="preserve"> </w:t>
      </w:r>
      <w:r w:rsidR="005F1E70">
        <w:rPr>
          <w:rFonts w:cs="Arial"/>
          <w:szCs w:val="24"/>
        </w:rPr>
        <w:t>Not applicable</w:t>
      </w:r>
      <w:r>
        <w:rPr>
          <w:rFonts w:cs="Arial"/>
          <w:szCs w:val="24"/>
        </w:rPr>
        <w:tab/>
      </w:r>
    </w:p>
    <w:p w14:paraId="4CF82FF9" w14:textId="77777777" w:rsidR="00C05BE9" w:rsidRDefault="00C05BE9">
      <w:pPr>
        <w:rPr>
          <w:rFonts w:cs="Arial"/>
          <w:szCs w:val="24"/>
        </w:rPr>
      </w:pPr>
    </w:p>
    <w:p w14:paraId="68553354" w14:textId="500267D0" w:rsidR="00C05BE9" w:rsidRDefault="00784DAE">
      <w:pPr>
        <w:ind w:left="2694" w:hanging="2694"/>
        <w:rPr>
          <w:rFonts w:cs="Arial"/>
          <w:b/>
          <w:szCs w:val="24"/>
        </w:rPr>
      </w:pPr>
      <w:r>
        <w:rPr>
          <w:rFonts w:cs="Arial"/>
          <w:b/>
          <w:szCs w:val="24"/>
        </w:rPr>
        <w:t xml:space="preserve">Tree Preservation Order: </w:t>
      </w:r>
      <w:r w:rsidR="005F1E70" w:rsidRPr="005F1E70">
        <w:rPr>
          <w:rFonts w:cs="Arial"/>
          <w:bCs/>
          <w:szCs w:val="24"/>
        </w:rPr>
        <w:t>Not applicable</w:t>
      </w:r>
      <w:r>
        <w:rPr>
          <w:rFonts w:cs="Arial"/>
          <w:b/>
          <w:szCs w:val="24"/>
        </w:rPr>
        <w:tab/>
      </w:r>
    </w:p>
    <w:p w14:paraId="279F0F7C" w14:textId="77777777" w:rsidR="00C05BE9" w:rsidRDefault="00C05BE9">
      <w:pPr>
        <w:rPr>
          <w:rFonts w:cs="Arial"/>
          <w:szCs w:val="24"/>
        </w:rPr>
      </w:pPr>
    </w:p>
    <w:p w14:paraId="2235278F" w14:textId="0786A84D" w:rsidR="00C05BE9" w:rsidRPr="005F1E70" w:rsidRDefault="00784DAE">
      <w:pPr>
        <w:rPr>
          <w:rFonts w:cs="Arial"/>
          <w:szCs w:val="24"/>
        </w:rPr>
      </w:pPr>
      <w:r>
        <w:rPr>
          <w:rFonts w:cs="Arial"/>
          <w:szCs w:val="24"/>
        </w:rPr>
        <w:t>.</w:t>
      </w:r>
      <w:r>
        <w:rPr>
          <w:rFonts w:cs="Arial"/>
          <w:b/>
          <w:szCs w:val="24"/>
          <w:u w:val="single"/>
        </w:rPr>
        <w:t>Description of area</w:t>
      </w:r>
    </w:p>
    <w:p w14:paraId="6C3B5530" w14:textId="377E5AF5" w:rsidR="00C05BE9" w:rsidRDefault="005F1E70">
      <w:pPr>
        <w:rPr>
          <w:rFonts w:cs="Arial"/>
          <w:szCs w:val="24"/>
        </w:rPr>
      </w:pPr>
      <w:r>
        <w:rPr>
          <w:rFonts w:cs="Arial"/>
          <w:szCs w:val="24"/>
        </w:rPr>
        <w:t>The area is predominantly residential in nature, comprising of properties of a similar age and style to the proposal site and large villa style properties. The area to the north on Dickenson Road comprises of a mix of commercial and residential properties, and later dated blocks of social housing.</w:t>
      </w:r>
    </w:p>
    <w:p w14:paraId="3B401424" w14:textId="77777777" w:rsidR="00C05BE9" w:rsidRDefault="00C05BE9">
      <w:pPr>
        <w:rPr>
          <w:rFonts w:cs="Arial"/>
          <w:szCs w:val="24"/>
        </w:rPr>
      </w:pPr>
    </w:p>
    <w:p w14:paraId="62C56952" w14:textId="77777777" w:rsidR="00C05BE9" w:rsidRDefault="00784DAE">
      <w:pPr>
        <w:rPr>
          <w:rFonts w:cs="Arial"/>
          <w:b/>
          <w:szCs w:val="24"/>
          <w:u w:val="single"/>
        </w:rPr>
      </w:pPr>
      <w:r>
        <w:rPr>
          <w:rFonts w:cs="Arial"/>
          <w:b/>
          <w:szCs w:val="24"/>
          <w:u w:val="single"/>
        </w:rPr>
        <w:t>Description of development</w:t>
      </w:r>
    </w:p>
    <w:p w14:paraId="47E3477A" w14:textId="7D0A1BCE" w:rsidR="005F1E70" w:rsidRDefault="005F1E70">
      <w:pPr>
        <w:rPr>
          <w:rFonts w:cs="Arial"/>
          <w:szCs w:val="24"/>
        </w:rPr>
      </w:pPr>
      <w:r>
        <w:rPr>
          <w:rFonts w:cs="Arial"/>
          <w:szCs w:val="24"/>
        </w:rPr>
        <w:t>The applicant seeks to demonstrate that at the time the Article 4 Direction requiring planning permission, for Class C4, came into effect, that the house was in use as a small scale House in Multiple Occupation (HMO), since before 8th October 2011, with evidence submitted for assessment from September 2009 to present day</w:t>
      </w:r>
      <w:bookmarkStart w:id="0" w:name="_GoBack"/>
      <w:bookmarkEnd w:id="0"/>
      <w:r>
        <w:rPr>
          <w:rFonts w:cs="Arial"/>
          <w:szCs w:val="24"/>
        </w:rPr>
        <w:t>, occupied by a maximum of 4 tenants and that the use has been subsequently and continuously undertaken.</w:t>
      </w:r>
    </w:p>
    <w:p w14:paraId="4373B855" w14:textId="56DF1988" w:rsidR="00C05BE9" w:rsidRPr="005F1E70" w:rsidRDefault="00784DAE">
      <w:pPr>
        <w:rPr>
          <w:rFonts w:cs="Arial"/>
          <w:szCs w:val="24"/>
        </w:rPr>
      </w:pPr>
      <w:r>
        <w:rPr>
          <w:rFonts w:cs="Arial"/>
          <w:b/>
          <w:szCs w:val="24"/>
          <w:u w:val="single"/>
        </w:rPr>
        <w:lastRenderedPageBreak/>
        <w:t>Consultations &amp; Notification Responses</w:t>
      </w:r>
    </w:p>
    <w:p w14:paraId="7CDB5CB2" w14:textId="77777777" w:rsidR="00C05BE9" w:rsidRDefault="00784DAE">
      <w:pPr>
        <w:rPr>
          <w:rFonts w:cs="Arial"/>
          <w:szCs w:val="24"/>
        </w:rPr>
      </w:pPr>
      <w:r>
        <w:rPr>
          <w:rFonts w:cs="Arial"/>
          <w:szCs w:val="24"/>
        </w:rPr>
        <w:t>Local residents were informed- no representations have been received.</w:t>
      </w:r>
    </w:p>
    <w:p w14:paraId="06802469" w14:textId="77777777" w:rsidR="00C05BE9" w:rsidRDefault="00C05BE9">
      <w:pPr>
        <w:rPr>
          <w:rFonts w:cs="Arial"/>
          <w:szCs w:val="24"/>
        </w:rPr>
      </w:pPr>
    </w:p>
    <w:p w14:paraId="7D017A7A" w14:textId="77777777" w:rsidR="00C05BE9" w:rsidRDefault="00784DAE">
      <w:pPr>
        <w:rPr>
          <w:rFonts w:cs="Arial"/>
          <w:b/>
          <w:szCs w:val="24"/>
          <w:u w:val="single"/>
        </w:rPr>
      </w:pPr>
      <w:r>
        <w:rPr>
          <w:rFonts w:cs="Arial"/>
          <w:b/>
          <w:szCs w:val="24"/>
          <w:u w:val="single"/>
        </w:rPr>
        <w:t>Issues</w:t>
      </w:r>
    </w:p>
    <w:p w14:paraId="3CC48C36" w14:textId="77777777" w:rsidR="00C05BE9" w:rsidRDefault="00C05BE9">
      <w:pPr>
        <w:rPr>
          <w:rFonts w:cs="Arial"/>
          <w:szCs w:val="24"/>
        </w:rPr>
      </w:pPr>
    </w:p>
    <w:p w14:paraId="5B43D10D" w14:textId="77777777" w:rsidR="00C05BE9" w:rsidRDefault="00784DAE">
      <w:pPr>
        <w:rPr>
          <w:rFonts w:cs="Arial"/>
          <w:szCs w:val="24"/>
        </w:rPr>
      </w:pPr>
      <w:r>
        <w:rPr>
          <w:rFonts w:cs="Arial"/>
          <w:szCs w:val="24"/>
        </w:rPr>
        <w:t>Policy</w:t>
      </w:r>
    </w:p>
    <w:p w14:paraId="53B7CCF8" w14:textId="77777777" w:rsidR="00C05BE9" w:rsidRDefault="00C05BE9">
      <w:pPr>
        <w:rPr>
          <w:rFonts w:cs="Arial"/>
          <w:szCs w:val="24"/>
        </w:rPr>
      </w:pPr>
    </w:p>
    <w:p w14:paraId="4D3F197D" w14:textId="77777777" w:rsidR="00C05BE9" w:rsidRDefault="00784DAE">
      <w:pPr>
        <w:rPr>
          <w:rFonts w:cs="Arial"/>
          <w:szCs w:val="24"/>
        </w:rPr>
      </w:pPr>
      <w:r>
        <w:rPr>
          <w:rFonts w:cs="Arial"/>
          <w:szCs w:val="24"/>
        </w:rPr>
        <w:t xml:space="preserve">Core Strategy Development Plan Document Adopted 11th July 2012 </w:t>
      </w:r>
    </w:p>
    <w:p w14:paraId="08C1B09F" w14:textId="77777777" w:rsidR="00C05BE9" w:rsidRDefault="00C05BE9">
      <w:pPr>
        <w:rPr>
          <w:rFonts w:cs="Arial"/>
          <w:szCs w:val="24"/>
        </w:rPr>
      </w:pPr>
    </w:p>
    <w:p w14:paraId="09A17FEF" w14:textId="77777777" w:rsidR="00C05BE9" w:rsidRDefault="00784DAE">
      <w:pPr>
        <w:rPr>
          <w:rFonts w:cs="Arial"/>
          <w:szCs w:val="24"/>
        </w:rPr>
      </w:pPr>
      <w:r>
        <w:rPr>
          <w:rFonts w:cs="Arial"/>
          <w:szCs w:val="24"/>
        </w:rPr>
        <w:t>Houses in Multiple Occupation</w:t>
      </w:r>
    </w:p>
    <w:p w14:paraId="13B5A1D5" w14:textId="77777777" w:rsidR="00C05BE9" w:rsidRDefault="00C05BE9">
      <w:pPr>
        <w:rPr>
          <w:rFonts w:cs="Arial"/>
          <w:szCs w:val="24"/>
        </w:rPr>
      </w:pPr>
    </w:p>
    <w:p w14:paraId="3A0E3016" w14:textId="77777777" w:rsidR="00C05BE9" w:rsidRDefault="00784DAE">
      <w:pPr>
        <w:rPr>
          <w:rFonts w:cs="Arial"/>
          <w:szCs w:val="24"/>
        </w:rPr>
      </w:pPr>
      <w:r>
        <w:rPr>
          <w:rFonts w:cs="Arial"/>
          <w:szCs w:val="24"/>
        </w:rPr>
        <w:t>From 1st October 2010 change of use from a Class C3 dwellinghouse to a Class C4 House in Multiple Occupation (HMO) became permitted development, therefore planning permission is no longer needed.  The Council made an Article 4 Direction on 7th October 2010 which means that planning permission will be needed for this type of development.  The direction was confirmed by the Council in January 2011 and came into force on 8th October 2011.  The Council will use the policy below to control further changes of use from a C3 to a C4. The policy also controls change of use to HMOs which are 'sui generis'.</w:t>
      </w:r>
    </w:p>
    <w:p w14:paraId="4D578F50" w14:textId="77777777" w:rsidR="00C05BE9" w:rsidRDefault="00C05BE9">
      <w:pPr>
        <w:rPr>
          <w:rFonts w:cs="Arial"/>
          <w:szCs w:val="24"/>
        </w:rPr>
      </w:pPr>
    </w:p>
    <w:p w14:paraId="3321C94E" w14:textId="77777777" w:rsidR="00C05BE9" w:rsidRDefault="00784DAE">
      <w:pPr>
        <w:rPr>
          <w:rFonts w:cs="Arial"/>
          <w:szCs w:val="24"/>
        </w:rPr>
      </w:pPr>
      <w:r>
        <w:rPr>
          <w:rFonts w:cs="Arial"/>
          <w:szCs w:val="24"/>
        </w:rPr>
        <w:t>Issues</w:t>
      </w:r>
    </w:p>
    <w:p w14:paraId="323475A0" w14:textId="77777777" w:rsidR="00C05BE9" w:rsidRDefault="00C05BE9">
      <w:pPr>
        <w:rPr>
          <w:rFonts w:cs="Arial"/>
          <w:szCs w:val="24"/>
        </w:rPr>
      </w:pPr>
    </w:p>
    <w:p w14:paraId="21914F1F" w14:textId="1FC014A0" w:rsidR="00C05BE9" w:rsidRDefault="00784DAE">
      <w:pPr>
        <w:rPr>
          <w:rFonts w:cs="Arial"/>
          <w:szCs w:val="24"/>
        </w:rPr>
      </w:pPr>
      <w:r>
        <w:rPr>
          <w:rFonts w:cs="Arial"/>
          <w:szCs w:val="24"/>
        </w:rPr>
        <w:t>The supporting information comprises of the following:</w:t>
      </w:r>
    </w:p>
    <w:p w14:paraId="5E95237D" w14:textId="52D4E0C2" w:rsidR="00C05BE9" w:rsidRDefault="00784DAE">
      <w:pPr>
        <w:rPr>
          <w:rFonts w:cs="Arial"/>
          <w:szCs w:val="24"/>
        </w:rPr>
      </w:pPr>
      <w:r>
        <w:rPr>
          <w:rFonts w:cs="Arial"/>
          <w:szCs w:val="24"/>
        </w:rPr>
        <w:t>Continuous tenancy agr</w:t>
      </w:r>
      <w:r w:rsidR="005F1E70">
        <w:rPr>
          <w:rFonts w:cs="Arial"/>
          <w:szCs w:val="24"/>
        </w:rPr>
        <w:t>e</w:t>
      </w:r>
      <w:r>
        <w:rPr>
          <w:rFonts w:cs="Arial"/>
          <w:szCs w:val="24"/>
        </w:rPr>
        <w:t>ements September 2009 to submission and ongoing, and a sworn affidavit.</w:t>
      </w:r>
    </w:p>
    <w:p w14:paraId="1A7F5A57" w14:textId="77777777" w:rsidR="00C05BE9" w:rsidRDefault="00C05BE9">
      <w:pPr>
        <w:rPr>
          <w:rFonts w:cs="Arial"/>
          <w:szCs w:val="24"/>
        </w:rPr>
      </w:pPr>
    </w:p>
    <w:p w14:paraId="22B96C9C" w14:textId="03BA5E4B" w:rsidR="00C05BE9" w:rsidRDefault="00784DAE">
      <w:pPr>
        <w:rPr>
          <w:rFonts w:cs="Arial"/>
          <w:szCs w:val="24"/>
        </w:rPr>
      </w:pPr>
      <w:r>
        <w:rPr>
          <w:rFonts w:cs="Arial"/>
          <w:szCs w:val="24"/>
        </w:rPr>
        <w:t>Conclusion - From the information that has been provided it is considered, that on the balance of probabilities, the rooms comprising the property had been let to individual tenants with access to shared facilities. It is therefore considered that the premises were in use for Class C4 purposes at the time that the Article 4 Direction was introduced, and this use has subsequently continued accommodating a maximum of 4 people. The use of the premises as an HMO (Class C4) is considered to be the lawful use of the house.</w:t>
      </w:r>
    </w:p>
    <w:p w14:paraId="3E886E92" w14:textId="77777777" w:rsidR="00C05BE9" w:rsidRDefault="00C05BE9">
      <w:pPr>
        <w:rPr>
          <w:rFonts w:cs="Arial"/>
          <w:szCs w:val="24"/>
        </w:rPr>
      </w:pPr>
    </w:p>
    <w:p w14:paraId="13069EF9" w14:textId="77777777" w:rsidR="00C05BE9" w:rsidRDefault="00784DAE">
      <w:pPr>
        <w:ind w:left="2694" w:hanging="2694"/>
        <w:rPr>
          <w:rFonts w:cs="Arial"/>
          <w:b/>
          <w:szCs w:val="24"/>
          <w:u w:val="single"/>
        </w:rPr>
      </w:pPr>
      <w:r>
        <w:rPr>
          <w:rFonts w:cs="Arial"/>
          <w:b/>
          <w:szCs w:val="24"/>
          <w:u w:val="single"/>
        </w:rPr>
        <w:t>Human Rights Act 1998 considerations</w:t>
      </w:r>
    </w:p>
    <w:p w14:paraId="000D7853" w14:textId="77777777" w:rsidR="00C05BE9" w:rsidRDefault="00C05BE9">
      <w:pPr>
        <w:ind w:left="2694" w:hanging="2694"/>
        <w:rPr>
          <w:rFonts w:cs="Arial"/>
          <w:szCs w:val="24"/>
        </w:rPr>
      </w:pPr>
    </w:p>
    <w:p w14:paraId="1FCDAEAB" w14:textId="77777777" w:rsidR="00C05BE9" w:rsidRDefault="00784DAE">
      <w:pPr>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0B29789" w14:textId="77777777" w:rsidR="00C05BE9" w:rsidRDefault="00C05BE9">
      <w:pPr>
        <w:rPr>
          <w:rFonts w:cs="Arial"/>
          <w:szCs w:val="24"/>
        </w:rPr>
      </w:pPr>
    </w:p>
    <w:p w14:paraId="4E6C39D6" w14:textId="77777777" w:rsidR="00C05BE9" w:rsidRDefault="00784DAE">
      <w:pPr>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F3A321" w14:textId="77777777" w:rsidR="00C05BE9" w:rsidRDefault="00C05BE9">
      <w:pPr>
        <w:rPr>
          <w:rFonts w:cs="Arial"/>
          <w:szCs w:val="24"/>
        </w:rPr>
      </w:pPr>
    </w:p>
    <w:p w14:paraId="25C60168" w14:textId="037E37BD" w:rsidR="00C05BE9" w:rsidRDefault="00784DAE">
      <w:pPr>
        <w:rPr>
          <w:rFonts w:cs="Arial"/>
          <w:szCs w:val="24"/>
        </w:rPr>
      </w:pPr>
      <w:r>
        <w:rPr>
          <w:rFonts w:cs="Arial"/>
          <w:b/>
          <w:szCs w:val="24"/>
        </w:rPr>
        <w:t>Recommendation:</w:t>
      </w:r>
      <w:r>
        <w:rPr>
          <w:rFonts w:cs="Arial"/>
          <w:szCs w:val="24"/>
        </w:rPr>
        <w:tab/>
        <w:t xml:space="preserve">  Approve</w:t>
      </w:r>
    </w:p>
    <w:p w14:paraId="3830B325" w14:textId="77777777" w:rsidR="00C05BE9" w:rsidRDefault="00C05BE9">
      <w:pPr>
        <w:rPr>
          <w:rFonts w:cs="Arial"/>
          <w:szCs w:val="24"/>
        </w:rPr>
      </w:pPr>
    </w:p>
    <w:p w14:paraId="060FE7B3" w14:textId="77777777" w:rsidR="00784DAE" w:rsidRDefault="00784DAE">
      <w:pPr>
        <w:rPr>
          <w:rFonts w:cs="Arial"/>
          <w:b/>
          <w:szCs w:val="24"/>
        </w:rPr>
      </w:pPr>
    </w:p>
    <w:p w14:paraId="3F556D68" w14:textId="1C2D046F" w:rsidR="00C05BE9" w:rsidRDefault="00784DAE">
      <w:pPr>
        <w:rPr>
          <w:rFonts w:cs="Arial"/>
          <w:szCs w:val="24"/>
        </w:rPr>
      </w:pPr>
      <w:r>
        <w:rPr>
          <w:rFonts w:cs="Arial"/>
          <w:b/>
          <w:szCs w:val="24"/>
        </w:rPr>
        <w:lastRenderedPageBreak/>
        <w:t>Article 35 Declaration</w:t>
      </w:r>
    </w:p>
    <w:p w14:paraId="4B52F5E3" w14:textId="77777777" w:rsidR="00C05BE9" w:rsidRDefault="00C05BE9">
      <w:pPr>
        <w:rPr>
          <w:rFonts w:cs="Arial"/>
          <w:szCs w:val="24"/>
        </w:rPr>
      </w:pPr>
    </w:p>
    <w:p w14:paraId="7A476928" w14:textId="1A39364B" w:rsidR="00C05BE9" w:rsidRDefault="00784DAE">
      <w:pPr>
        <w:rPr>
          <w:rFonts w:cs="Arial"/>
          <w:szCs w:val="24"/>
        </w:rPr>
      </w:pPr>
      <w:r>
        <w:rPr>
          <w:rFonts w:cs="Arial"/>
          <w:szCs w:val="24"/>
        </w:rPr>
        <w:t>Officers have worked with the applicant in a positive and proactive manner based on seeking solutions to problems arising in relation to dealing with the planning application. The submitted information has been sufficient allow the application to be viewed positively.</w:t>
      </w:r>
    </w:p>
    <w:p w14:paraId="209A14AD" w14:textId="77777777" w:rsidR="00C05BE9" w:rsidRDefault="00C05BE9">
      <w:pPr>
        <w:rPr>
          <w:rFonts w:cs="Arial"/>
          <w:szCs w:val="24"/>
        </w:rPr>
      </w:pPr>
    </w:p>
    <w:p w14:paraId="5217EF1D" w14:textId="77777777" w:rsidR="00C05BE9" w:rsidRDefault="00784DAE">
      <w:pPr>
        <w:rPr>
          <w:rFonts w:cs="Arial"/>
          <w:szCs w:val="24"/>
        </w:rPr>
      </w:pPr>
      <w:r>
        <w:rPr>
          <w:rFonts w:cs="Arial"/>
          <w:b/>
          <w:szCs w:val="24"/>
        </w:rPr>
        <w:t>Condition(s) to be attached to decision for approval OR Reasons for recommendation to refuse</w:t>
      </w:r>
    </w:p>
    <w:p w14:paraId="11C8479E" w14:textId="77777777" w:rsidR="00784DAE" w:rsidRDefault="00784DAE" w:rsidP="00784DAE">
      <w:pPr>
        <w:rPr>
          <w:rFonts w:cs="Arial"/>
          <w:szCs w:val="24"/>
        </w:rPr>
      </w:pPr>
    </w:p>
    <w:p w14:paraId="1FE49B76" w14:textId="044CCFB0" w:rsidR="00784DAE" w:rsidRDefault="00784DAE" w:rsidP="00784DAE">
      <w:pPr>
        <w:rPr>
          <w:rFonts w:cs="Arial"/>
          <w:szCs w:val="24"/>
        </w:rPr>
      </w:pPr>
      <w:r>
        <w:rPr>
          <w:rFonts w:cs="Arial"/>
          <w:szCs w:val="24"/>
        </w:rPr>
        <w:t>From the evidence available and the planning law applicable to the property, Manchester City Council is satisfied that the use is lawful by reason of the said use having been in existence since before 8th October 2011.</w:t>
      </w:r>
    </w:p>
    <w:p w14:paraId="202CCAE5" w14:textId="77777777" w:rsidR="00784DAE" w:rsidRDefault="00784DAE" w:rsidP="00784DAE">
      <w:pPr>
        <w:rPr>
          <w:rFonts w:cs="Arial"/>
          <w:szCs w:val="24"/>
        </w:rPr>
      </w:pPr>
    </w:p>
    <w:p w14:paraId="7170828A" w14:textId="77777777" w:rsidR="00784DAE" w:rsidRDefault="00784DAE" w:rsidP="00784DAE">
      <w:pPr>
        <w:rPr>
          <w:rFonts w:cs="Arial"/>
          <w:szCs w:val="24"/>
        </w:rPr>
      </w:pPr>
      <w:r>
        <w:rPr>
          <w:rFonts w:cs="Arial"/>
          <w:szCs w:val="24"/>
        </w:rPr>
        <w:t>From the information that has been provided it is considered that, on the balance of probabilities, the lawful use of the premises was as a House in Multiple Occupation (Class C4) at the time that the Article 4 Direction was introduced.</w:t>
      </w:r>
    </w:p>
    <w:p w14:paraId="7B3D0333" w14:textId="77777777" w:rsidR="00C05BE9" w:rsidRDefault="00C05BE9">
      <w:pPr>
        <w:rPr>
          <w:rFonts w:cs="Arial"/>
          <w:szCs w:val="24"/>
        </w:rPr>
      </w:pPr>
    </w:p>
    <w:p w14:paraId="6EB0A94B" w14:textId="77777777" w:rsidR="00C05BE9" w:rsidRDefault="00C05BE9">
      <w:pPr>
        <w:rPr>
          <w:rFonts w:cs="Arial"/>
          <w:szCs w:val="24"/>
        </w:rPr>
      </w:pPr>
    </w:p>
    <w:p w14:paraId="0A5BA680" w14:textId="77777777" w:rsidR="00C05BE9" w:rsidRDefault="00C05BE9">
      <w:pPr>
        <w:rPr>
          <w:rFonts w:cs="Arial"/>
          <w:szCs w:val="24"/>
        </w:rPr>
      </w:pPr>
    </w:p>
    <w:p w14:paraId="6B4920B9" w14:textId="33EB2BA4" w:rsidR="00C05BE9" w:rsidRPr="00784DAE" w:rsidRDefault="00784DAE" w:rsidP="00784DAE">
      <w:pPr>
        <w:spacing w:after="160" w:line="259" w:lineRule="auto"/>
        <w:rPr>
          <w:rFonts w:cs="Arial"/>
          <w:b/>
          <w:u w:val="single"/>
        </w:rPr>
      </w:pPr>
      <w:r>
        <w:rPr>
          <w:rFonts w:cs="Arial"/>
          <w:b/>
          <w:u w:val="single"/>
        </w:rPr>
        <w:t>Appendix 1 – List of consultees &amp; neighbours notified</w:t>
      </w:r>
    </w:p>
    <w:p w14:paraId="6F7937D7" w14:textId="77777777" w:rsidR="00C05BE9" w:rsidRDefault="00784DAE">
      <w:pPr>
        <w:rPr>
          <w:rFonts w:cs="Arial"/>
        </w:rPr>
      </w:pPr>
      <w:r>
        <w:rPr>
          <w:rFonts w:cs="Arial"/>
        </w:rPr>
        <w:t>7 Wallace Avenue, Manchester, M14 5HH</w:t>
      </w:r>
    </w:p>
    <w:p w14:paraId="18601CD5" w14:textId="77777777" w:rsidR="00C05BE9" w:rsidRDefault="00784DAE">
      <w:pPr>
        <w:rPr>
          <w:rFonts w:cs="Arial"/>
        </w:rPr>
      </w:pPr>
      <w:r>
        <w:rPr>
          <w:rFonts w:cs="Arial"/>
        </w:rPr>
        <w:t>14 Wallace Avenue, Manchester, M14 5HH</w:t>
      </w:r>
    </w:p>
    <w:p w14:paraId="3A3ED63F" w14:textId="77777777" w:rsidR="00C05BE9" w:rsidRDefault="00784DAE">
      <w:pPr>
        <w:rPr>
          <w:rFonts w:cs="Arial"/>
        </w:rPr>
      </w:pPr>
      <w:r>
        <w:rPr>
          <w:rFonts w:cs="Arial"/>
        </w:rPr>
        <w:t>11 Wallace Avenue, Manchester, M14 5HH</w:t>
      </w:r>
    </w:p>
    <w:p w14:paraId="17ADF193" w14:textId="77777777" w:rsidR="00C05BE9" w:rsidRDefault="00784DAE">
      <w:pPr>
        <w:rPr>
          <w:rFonts w:cs="Arial"/>
        </w:rPr>
      </w:pPr>
      <w:r>
        <w:rPr>
          <w:rFonts w:cs="Arial"/>
        </w:rPr>
        <w:t>10 Wallace Avenue, Manchester, M14 5HH</w:t>
      </w:r>
    </w:p>
    <w:p w14:paraId="07196135" w14:textId="77777777" w:rsidR="00C05BE9" w:rsidRDefault="00784DAE">
      <w:pPr>
        <w:rPr>
          <w:rFonts w:cs="Arial"/>
        </w:rPr>
      </w:pPr>
      <w:r>
        <w:rPr>
          <w:rFonts w:cs="Arial"/>
        </w:rPr>
        <w:t>12 Wallace Avenue, Manchester, M14 5HH</w:t>
      </w:r>
    </w:p>
    <w:p w14:paraId="5F084F9A" w14:textId="77777777" w:rsidR="00C05BE9" w:rsidRDefault="00C05BE9">
      <w:pPr>
        <w:rPr>
          <w:rFonts w:cs="Arial"/>
        </w:rPr>
      </w:pPr>
    </w:p>
    <w:p w14:paraId="5CE2BEFB" w14:textId="77777777" w:rsidR="00C05BE9" w:rsidRDefault="00784DAE">
      <w:pPr>
        <w:rPr>
          <w:rFonts w:cs="Arial"/>
        </w:rPr>
      </w:pPr>
      <w:r>
        <w:rPr>
          <w:rFonts w:cs="Arial"/>
          <w:b/>
          <w:u w:val="single"/>
        </w:rPr>
        <w:t>Appendix 2 – Planning constraints</w:t>
      </w:r>
    </w:p>
    <w:p w14:paraId="01C57C94" w14:textId="77777777" w:rsidR="00C05BE9" w:rsidRDefault="00C05BE9">
      <w:pPr>
        <w:rPr>
          <w:rFonts w:cs="Arial"/>
        </w:rPr>
      </w:pPr>
    </w:p>
    <w:p w14:paraId="1048E1A1" w14:textId="77777777" w:rsidR="00C05BE9" w:rsidRDefault="00784DAE">
      <w:pPr>
        <w:rPr>
          <w:rFonts w:cs="Arial"/>
        </w:rPr>
      </w:pPr>
      <w:r>
        <w:rPr>
          <w:rFonts w:cs="Arial"/>
        </w:rPr>
        <w:t>Article 4 Direction - Removal Of PD Rights Change Of Use From Class C3 To Class C4</w:t>
      </w:r>
    </w:p>
    <w:p w14:paraId="5704A93E" w14:textId="77777777" w:rsidR="00C05BE9" w:rsidRDefault="00784DAE">
      <w:pPr>
        <w:rPr>
          <w:rFonts w:cs="Arial"/>
        </w:rPr>
      </w:pPr>
      <w:r>
        <w:rPr>
          <w:rFonts w:cs="Arial"/>
        </w:rPr>
        <w:t>Aircraft Safeguarding Zone - Aircraft Safeguarding Zone - All Exceeding 90M</w:t>
      </w:r>
    </w:p>
    <w:p w14:paraId="68DD9280" w14:textId="77777777" w:rsidR="00C05BE9" w:rsidRDefault="00784DAE">
      <w:pPr>
        <w:rPr>
          <w:rFonts w:cs="Arial"/>
        </w:rPr>
      </w:pPr>
      <w:r>
        <w:rPr>
          <w:rFonts w:cs="Arial"/>
        </w:rPr>
        <w:t>Coal Authority - Development Low Risk - Name: DEVELOPMENT_LOW_RISK_AREA</w:t>
      </w:r>
    </w:p>
    <w:p w14:paraId="174A36AF" w14:textId="77777777" w:rsidR="00C05BE9" w:rsidRDefault="00784DAE">
      <w:pPr>
        <w:rPr>
          <w:rFonts w:cs="Arial"/>
        </w:rPr>
      </w:pPr>
      <w:r>
        <w:rPr>
          <w:rFonts w:cs="Arial"/>
        </w:rPr>
        <w:t>Area Team Boundary - Name: SOUTH</w:t>
      </w:r>
    </w:p>
    <w:p w14:paraId="1520868F" w14:textId="77777777" w:rsidR="00C05BE9" w:rsidRDefault="00C05BE9">
      <w:pPr>
        <w:rPr>
          <w:rFonts w:cs="Arial"/>
        </w:rPr>
      </w:pPr>
    </w:p>
    <w:p w14:paraId="1BD6CB28" w14:textId="77777777" w:rsidR="00C05BE9" w:rsidRDefault="00C05BE9">
      <w:pPr>
        <w:rPr>
          <w:rFonts w:cs="Arial"/>
          <w:szCs w:val="24"/>
        </w:rPr>
      </w:pPr>
    </w:p>
    <w:sectPr w:rsidR="00C05BE9"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5F1E70"/>
    <w:rsid w:val="002626A7"/>
    <w:rsid w:val="005F1E70"/>
    <w:rsid w:val="00784DAE"/>
    <w:rsid w:val="00A44FEE"/>
    <w:rsid w:val="00C05BE9"/>
    <w:rsid w:val="00C42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788DA8"/>
  <w14:defaultImageDpi w14:val="0"/>
  <w15:docId w15:val="{086F026C-E87D-40F0-B58D-2F1A57E2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file:///\\shp101m078\uniform\Uniform7\Home\logos\mcclog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1057</Words>
  <Characters>6026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Jennifer Connor</cp:lastModifiedBy>
  <cp:revision>3</cp:revision>
  <dcterms:created xsi:type="dcterms:W3CDTF">2021-02-02T17:05:00Z</dcterms:created>
  <dcterms:modified xsi:type="dcterms:W3CDTF">2021-02-03T12:27:00Z</dcterms:modified>
</cp:coreProperties>
</file>